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F6601" w:rsidRDefault="00E6396C">
      <w:pPr>
        <w:pStyle w:val="normal0"/>
        <w:tabs>
          <w:tab w:val="right" w:pos="9360"/>
        </w:tabs>
      </w:pPr>
      <w:bookmarkStart w:id="0" w:name="_GoBack"/>
      <w:bookmarkEnd w:id="0"/>
      <w:r>
        <w:rPr>
          <w:noProof/>
        </w:rPr>
        <w:drawing>
          <wp:anchor distT="0" distB="0" distL="0" distR="0" simplePos="0" relativeHeight="251658240" behindDoc="0" locked="0" layoutInCell="0" hidden="0" allowOverlap="1">
            <wp:simplePos x="0" y="0"/>
            <wp:positionH relativeFrom="margin">
              <wp:posOffset>-66674</wp:posOffset>
            </wp:positionH>
            <wp:positionV relativeFrom="paragraph">
              <wp:posOffset>0</wp:posOffset>
            </wp:positionV>
            <wp:extent cx="1947545" cy="514985"/>
            <wp:effectExtent l="0" t="0" r="0" b="0"/>
            <wp:wrapSquare wrapText="bothSides" distT="0" distB="0" distL="0" distR="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a:srcRect/>
                    <a:stretch>
                      <a:fillRect/>
                    </a:stretch>
                  </pic:blipFill>
                  <pic:spPr>
                    <a:xfrm>
                      <a:off x="0" y="0"/>
                      <a:ext cx="1947545" cy="514985"/>
                    </a:xfrm>
                    <a:prstGeom prst="rect">
                      <a:avLst/>
                    </a:prstGeom>
                    <a:ln/>
                  </pic:spPr>
                </pic:pic>
              </a:graphicData>
            </a:graphic>
          </wp:anchor>
        </w:drawing>
      </w:r>
    </w:p>
    <w:p w:rsidR="00BF6601" w:rsidRDefault="00BF6601">
      <w:pPr>
        <w:pStyle w:val="normal0"/>
        <w:tabs>
          <w:tab w:val="right" w:pos="9360"/>
        </w:tabs>
      </w:pPr>
    </w:p>
    <w:p w:rsidR="00BF6601" w:rsidRDefault="00BF6601">
      <w:pPr>
        <w:pStyle w:val="normal0"/>
        <w:tabs>
          <w:tab w:val="right" w:pos="9360"/>
        </w:tabs>
      </w:pPr>
    </w:p>
    <w:p w:rsidR="00BF6601" w:rsidRDefault="000D19BF">
      <w:pPr>
        <w:pStyle w:val="normal0"/>
        <w:tabs>
          <w:tab w:val="right" w:pos="9360"/>
        </w:tabs>
      </w:pPr>
      <w:r>
        <w:pict>
          <v:rect id="_x0000_i1025" style="width:0;height:1.5pt" o:hralign="center" o:hrstd="t" o:hr="t" fillcolor="#a0a0a0" stroked="f"/>
        </w:pict>
      </w:r>
    </w:p>
    <w:p w:rsidR="00BF6601" w:rsidRDefault="00E6396C">
      <w:pPr>
        <w:pStyle w:val="normal0"/>
        <w:tabs>
          <w:tab w:val="right" w:pos="9360"/>
        </w:tabs>
      </w:pPr>
      <w:r>
        <w:rPr>
          <w:sz w:val="24"/>
          <w:szCs w:val="24"/>
        </w:rPr>
        <w:tab/>
      </w:r>
      <w:proofErr w:type="spellStart"/>
      <w:r>
        <w:rPr>
          <w:sz w:val="24"/>
          <w:szCs w:val="24"/>
        </w:rPr>
        <w:t>Hoʻokipa</w:t>
      </w:r>
      <w:proofErr w:type="spellEnd"/>
      <w:r>
        <w:rPr>
          <w:sz w:val="24"/>
          <w:szCs w:val="24"/>
        </w:rPr>
        <w:t xml:space="preserve"> Building</w:t>
      </w:r>
    </w:p>
    <w:p w:rsidR="00BF6601" w:rsidRDefault="00E6396C">
      <w:pPr>
        <w:pStyle w:val="normal0"/>
        <w:tabs>
          <w:tab w:val="right" w:pos="9360"/>
        </w:tabs>
      </w:pPr>
      <w:r>
        <w:rPr>
          <w:sz w:val="24"/>
          <w:szCs w:val="24"/>
        </w:rPr>
        <w:tab/>
      </w:r>
      <w:r>
        <w:rPr>
          <w:sz w:val="24"/>
          <w:szCs w:val="24"/>
        </w:rPr>
        <w:br/>
      </w:r>
      <w:r w:rsidR="000D19BF">
        <w:pict>
          <v:rect id="_x0000_i1026" style="width:0;height:1.5pt" o:hralign="center" o:hrstd="t" o:hr="t" fillcolor="#a0a0a0" stroked="f"/>
        </w:pict>
      </w:r>
    </w:p>
    <w:p w:rsidR="00BF6601" w:rsidRDefault="00E6396C">
      <w:pPr>
        <w:pStyle w:val="normal0"/>
        <w:tabs>
          <w:tab w:val="right" w:pos="9360"/>
        </w:tabs>
        <w:spacing w:before="120" w:after="120"/>
      </w:pPr>
      <w:r>
        <w:rPr>
          <w:b/>
          <w:sz w:val="24"/>
          <w:szCs w:val="24"/>
        </w:rPr>
        <w:t xml:space="preserve">Counseling Department 2015-2016 (2016) ASSESSMENT REPORT </w:t>
      </w:r>
    </w:p>
    <w:p w:rsidR="00BF6601" w:rsidRDefault="00E6396C">
      <w:pPr>
        <w:pStyle w:val="normal0"/>
        <w:tabs>
          <w:tab w:val="left" w:pos="720"/>
          <w:tab w:val="left" w:pos="1440"/>
          <w:tab w:val="left" w:pos="2160"/>
          <w:tab w:val="right" w:pos="9340"/>
        </w:tabs>
      </w:pPr>
      <w:r>
        <w:rPr>
          <w:b/>
          <w:color w:val="FFFFFF"/>
          <w:sz w:val="24"/>
          <w:szCs w:val="24"/>
          <w:shd w:val="clear" w:color="auto" w:fill="00637F"/>
        </w:rPr>
        <w:br/>
        <w:t xml:space="preserve">MISSION  </w:t>
      </w:r>
      <w:r>
        <w:rPr>
          <w:b/>
          <w:color w:val="FFFFFF"/>
          <w:sz w:val="24"/>
          <w:szCs w:val="24"/>
          <w:shd w:val="clear" w:color="auto" w:fill="00637F"/>
        </w:rPr>
        <w:tab/>
      </w:r>
      <w:r>
        <w:rPr>
          <w:b/>
          <w:color w:val="FFFFFF"/>
          <w:sz w:val="24"/>
          <w:szCs w:val="24"/>
          <w:shd w:val="clear" w:color="auto" w:fill="00637F"/>
        </w:rPr>
        <w:tab/>
      </w:r>
      <w:r>
        <w:rPr>
          <w:b/>
          <w:color w:val="FFFFFF"/>
          <w:sz w:val="24"/>
          <w:szCs w:val="24"/>
          <w:shd w:val="clear" w:color="auto" w:fill="00637F"/>
        </w:rPr>
        <w:tab/>
      </w:r>
      <w:r>
        <w:rPr>
          <w:b/>
          <w:color w:val="FFFFFF"/>
          <w:sz w:val="24"/>
          <w:szCs w:val="24"/>
          <w:shd w:val="clear" w:color="auto" w:fill="00637F"/>
        </w:rPr>
        <w:tab/>
      </w:r>
    </w:p>
    <w:p w:rsidR="00BF6601" w:rsidRDefault="00E6396C">
      <w:pPr>
        <w:pStyle w:val="normal0"/>
      </w:pPr>
      <w:r>
        <w:rPr>
          <w:sz w:val="24"/>
          <w:szCs w:val="24"/>
        </w:rPr>
        <w:t>The mission of the University Hawai‘i Maui College Counseling Department is to provide services that assist students in realizing their educational goals.</w:t>
      </w:r>
    </w:p>
    <w:p w:rsidR="00BF6601" w:rsidRDefault="00E6396C">
      <w:pPr>
        <w:pStyle w:val="normal0"/>
        <w:numPr>
          <w:ilvl w:val="0"/>
          <w:numId w:val="1"/>
        </w:numPr>
        <w:ind w:hanging="360"/>
        <w:rPr>
          <w:sz w:val="24"/>
          <w:szCs w:val="24"/>
        </w:rPr>
      </w:pPr>
      <w:r>
        <w:rPr>
          <w:sz w:val="24"/>
          <w:szCs w:val="24"/>
        </w:rPr>
        <w:t>The Counseling Department serves enrolled and non-enrolled students including prospective, returning, and transfer students.</w:t>
      </w:r>
    </w:p>
    <w:p w:rsidR="00BF6601" w:rsidRDefault="00E6396C">
      <w:pPr>
        <w:pStyle w:val="normal0"/>
        <w:numPr>
          <w:ilvl w:val="0"/>
          <w:numId w:val="1"/>
        </w:numPr>
        <w:ind w:hanging="360"/>
        <w:rPr>
          <w:sz w:val="24"/>
          <w:szCs w:val="24"/>
        </w:rPr>
      </w:pPr>
      <w:r>
        <w:rPr>
          <w:sz w:val="24"/>
          <w:szCs w:val="24"/>
        </w:rPr>
        <w:t xml:space="preserve">The Counseling Department supports students in articulating, developing, and meeting educational, career, and personal goals.  </w:t>
      </w:r>
    </w:p>
    <w:p w:rsidR="00BF6601" w:rsidRDefault="00E6396C">
      <w:pPr>
        <w:pStyle w:val="normal0"/>
        <w:numPr>
          <w:ilvl w:val="0"/>
          <w:numId w:val="1"/>
        </w:numPr>
        <w:ind w:hanging="360"/>
        <w:rPr>
          <w:sz w:val="24"/>
          <w:szCs w:val="24"/>
        </w:rPr>
      </w:pPr>
      <w:r>
        <w:rPr>
          <w:sz w:val="24"/>
          <w:szCs w:val="24"/>
        </w:rPr>
        <w:t>The Counseling Department supports the college community with recruitment, persistence, and retention efforts as well as initiatives to increase graduation and transfer rates.</w:t>
      </w:r>
    </w:p>
    <w:p w:rsidR="00BF6601" w:rsidRDefault="00BF6601">
      <w:pPr>
        <w:pStyle w:val="normal0"/>
      </w:pPr>
    </w:p>
    <w:p w:rsidR="00BF6601" w:rsidRDefault="00E6396C">
      <w:pPr>
        <w:pStyle w:val="normal0"/>
        <w:tabs>
          <w:tab w:val="right" w:pos="9340"/>
        </w:tabs>
      </w:pPr>
      <w:r>
        <w:rPr>
          <w:b/>
          <w:color w:val="FFFFFF"/>
          <w:sz w:val="24"/>
          <w:szCs w:val="24"/>
          <w:shd w:val="clear" w:color="auto" w:fill="00637F"/>
        </w:rPr>
        <w:t>GOALS</w:t>
      </w:r>
      <w:r>
        <w:rPr>
          <w:b/>
          <w:color w:val="FFFFFF"/>
          <w:sz w:val="24"/>
          <w:szCs w:val="24"/>
          <w:shd w:val="clear" w:color="auto" w:fill="00637F"/>
        </w:rPr>
        <w:tab/>
      </w:r>
    </w:p>
    <w:p w:rsidR="00BF6601" w:rsidRDefault="00BF6601">
      <w:pPr>
        <w:pStyle w:val="normal0"/>
      </w:pPr>
    </w:p>
    <w:p w:rsidR="00BF6601" w:rsidRDefault="00E6396C">
      <w:pPr>
        <w:pStyle w:val="normal0"/>
      </w:pPr>
      <w:r>
        <w:rPr>
          <w:sz w:val="24"/>
          <w:szCs w:val="24"/>
        </w:rPr>
        <w:t>Overall Outcomes for Student Affairs:</w:t>
      </w:r>
    </w:p>
    <w:p w:rsidR="00BF6601" w:rsidRDefault="00E6396C">
      <w:pPr>
        <w:pStyle w:val="normal0"/>
        <w:numPr>
          <w:ilvl w:val="0"/>
          <w:numId w:val="4"/>
        </w:numPr>
        <w:ind w:hanging="360"/>
        <w:rPr>
          <w:sz w:val="24"/>
          <w:szCs w:val="24"/>
        </w:rPr>
      </w:pPr>
      <w:r>
        <w:rPr>
          <w:sz w:val="24"/>
          <w:szCs w:val="24"/>
          <w:u w:val="single"/>
        </w:rPr>
        <w:t>Enrollment:</w:t>
      </w:r>
      <w:r>
        <w:rPr>
          <w:sz w:val="24"/>
          <w:szCs w:val="24"/>
        </w:rPr>
        <w:t xml:space="preserve"> Target key enrollment sectors that are underserved or have recruitment potential to expand access</w:t>
      </w:r>
    </w:p>
    <w:p w:rsidR="00BF6601" w:rsidRDefault="00E6396C">
      <w:pPr>
        <w:pStyle w:val="normal0"/>
        <w:numPr>
          <w:ilvl w:val="1"/>
          <w:numId w:val="4"/>
        </w:numPr>
        <w:ind w:hanging="360"/>
        <w:rPr>
          <w:sz w:val="24"/>
          <w:szCs w:val="24"/>
        </w:rPr>
      </w:pPr>
      <w:r>
        <w:rPr>
          <w:sz w:val="24"/>
          <w:szCs w:val="24"/>
        </w:rPr>
        <w:t>Require all new first time students to meet with an academic advisor prior to enrollment</w:t>
      </w:r>
    </w:p>
    <w:p w:rsidR="00BF6601" w:rsidRDefault="00E6396C">
      <w:pPr>
        <w:pStyle w:val="normal0"/>
        <w:numPr>
          <w:ilvl w:val="1"/>
          <w:numId w:val="4"/>
        </w:numPr>
        <w:ind w:hanging="360"/>
        <w:rPr>
          <w:sz w:val="24"/>
          <w:szCs w:val="24"/>
        </w:rPr>
      </w:pPr>
      <w:r>
        <w:rPr>
          <w:sz w:val="24"/>
          <w:szCs w:val="24"/>
        </w:rPr>
        <w:t>Increase dual credit/enrollment with local area high schools</w:t>
      </w:r>
    </w:p>
    <w:p w:rsidR="00BF6601" w:rsidRDefault="00E6396C">
      <w:pPr>
        <w:pStyle w:val="normal0"/>
        <w:numPr>
          <w:ilvl w:val="0"/>
          <w:numId w:val="4"/>
        </w:numPr>
        <w:ind w:hanging="360"/>
        <w:rPr>
          <w:sz w:val="24"/>
          <w:szCs w:val="24"/>
        </w:rPr>
      </w:pPr>
      <w:r>
        <w:rPr>
          <w:sz w:val="24"/>
          <w:szCs w:val="24"/>
          <w:u w:val="single"/>
        </w:rPr>
        <w:t>Hawaii Graduation Initiative:</w:t>
      </w:r>
      <w:r>
        <w:rPr>
          <w:sz w:val="24"/>
          <w:szCs w:val="24"/>
        </w:rPr>
        <w:t xml:space="preserve"> Increase the participation and completion rates of students, particularly Native Hawaiian, low-income, and those from underserved regions</w:t>
      </w:r>
    </w:p>
    <w:p w:rsidR="00BF6601" w:rsidRDefault="00E6396C">
      <w:pPr>
        <w:pStyle w:val="normal0"/>
        <w:numPr>
          <w:ilvl w:val="1"/>
          <w:numId w:val="4"/>
        </w:numPr>
        <w:ind w:hanging="360"/>
        <w:rPr>
          <w:sz w:val="24"/>
          <w:szCs w:val="24"/>
        </w:rPr>
      </w:pPr>
      <w:r>
        <w:rPr>
          <w:sz w:val="24"/>
          <w:szCs w:val="24"/>
        </w:rPr>
        <w:t xml:space="preserve">Participate in STAR Auto Credential and Reverse transfer </w:t>
      </w:r>
    </w:p>
    <w:p w:rsidR="00BF6601" w:rsidRDefault="00E6396C">
      <w:pPr>
        <w:pStyle w:val="normal0"/>
        <w:numPr>
          <w:ilvl w:val="1"/>
          <w:numId w:val="4"/>
        </w:numPr>
        <w:ind w:hanging="360"/>
        <w:rPr>
          <w:sz w:val="24"/>
          <w:szCs w:val="24"/>
        </w:rPr>
      </w:pPr>
      <w:r>
        <w:rPr>
          <w:sz w:val="24"/>
          <w:szCs w:val="24"/>
        </w:rPr>
        <w:t xml:space="preserve">Participate in Automatic Admissions, </w:t>
      </w:r>
      <w:proofErr w:type="spellStart"/>
      <w:r>
        <w:rPr>
          <w:sz w:val="24"/>
          <w:szCs w:val="24"/>
        </w:rPr>
        <w:t>Ka‘ie‘ie</w:t>
      </w:r>
      <w:proofErr w:type="spellEnd"/>
      <w:r>
        <w:rPr>
          <w:sz w:val="24"/>
          <w:szCs w:val="24"/>
        </w:rPr>
        <w:t xml:space="preserve"> Transfer agreement </w:t>
      </w:r>
    </w:p>
    <w:p w:rsidR="00BF6601" w:rsidRDefault="00E6396C">
      <w:pPr>
        <w:pStyle w:val="normal0"/>
        <w:numPr>
          <w:ilvl w:val="0"/>
          <w:numId w:val="4"/>
        </w:numPr>
        <w:ind w:hanging="360"/>
        <w:rPr>
          <w:sz w:val="24"/>
          <w:szCs w:val="24"/>
        </w:rPr>
      </w:pPr>
      <w:r>
        <w:rPr>
          <w:sz w:val="24"/>
          <w:szCs w:val="24"/>
          <w:u w:val="single"/>
        </w:rPr>
        <w:t>High Performance:</w:t>
      </w:r>
      <w:r>
        <w:rPr>
          <w:sz w:val="24"/>
          <w:szCs w:val="24"/>
        </w:rPr>
        <w:t xml:space="preserve"> Identify and change structures and processes that potentially impede student progress or student success</w:t>
      </w:r>
    </w:p>
    <w:p w:rsidR="00BF6601" w:rsidRDefault="00E6396C">
      <w:pPr>
        <w:pStyle w:val="normal0"/>
        <w:numPr>
          <w:ilvl w:val="1"/>
          <w:numId w:val="4"/>
        </w:numPr>
        <w:ind w:hanging="360"/>
        <w:rPr>
          <w:sz w:val="24"/>
          <w:szCs w:val="24"/>
        </w:rPr>
      </w:pPr>
      <w:r>
        <w:rPr>
          <w:sz w:val="24"/>
          <w:szCs w:val="24"/>
        </w:rPr>
        <w:t>Implement My Success (Starfish) retention tool to increase student progress and students success</w:t>
      </w:r>
    </w:p>
    <w:p w:rsidR="00BF6601" w:rsidRDefault="00BF6601">
      <w:pPr>
        <w:pStyle w:val="normal0"/>
      </w:pPr>
    </w:p>
    <w:p w:rsidR="00BF6601" w:rsidRDefault="00BF6601">
      <w:pPr>
        <w:pStyle w:val="normal0"/>
      </w:pPr>
    </w:p>
    <w:p w:rsidR="00BF6601" w:rsidRDefault="00BF6601">
      <w:pPr>
        <w:pStyle w:val="normal0"/>
      </w:pPr>
    </w:p>
    <w:p w:rsidR="00BF6601" w:rsidRDefault="00BF6601">
      <w:pPr>
        <w:pStyle w:val="normal0"/>
      </w:pPr>
    </w:p>
    <w:p w:rsidR="00BF6601" w:rsidRDefault="00BF6601">
      <w:pPr>
        <w:pStyle w:val="normal0"/>
      </w:pPr>
    </w:p>
    <w:p w:rsidR="00BF6601" w:rsidRDefault="00BF6601">
      <w:pPr>
        <w:pStyle w:val="normal0"/>
      </w:pPr>
    </w:p>
    <w:p w:rsidR="00BF6601" w:rsidRDefault="00BF6601">
      <w:pPr>
        <w:pStyle w:val="normal0"/>
      </w:pPr>
    </w:p>
    <w:p w:rsidR="00BF6601" w:rsidRDefault="00E6396C">
      <w:pPr>
        <w:pStyle w:val="normal0"/>
      </w:pPr>
      <w:r>
        <w:rPr>
          <w:b/>
          <w:color w:val="FFFFFF"/>
          <w:sz w:val="24"/>
          <w:szCs w:val="24"/>
          <w:shd w:val="clear" w:color="auto" w:fill="00637F"/>
        </w:rPr>
        <w:t>STUDENT LEARNING OUTCOMES FOR COUNSELING</w:t>
      </w:r>
    </w:p>
    <w:p w:rsidR="00BF6601" w:rsidRDefault="00BF6601">
      <w:pPr>
        <w:pStyle w:val="normal0"/>
      </w:pPr>
    </w:p>
    <w:p w:rsidR="00BF6601" w:rsidRDefault="00E6396C">
      <w:pPr>
        <w:pStyle w:val="normal0"/>
      </w:pPr>
      <w:r>
        <w:rPr>
          <w:sz w:val="24"/>
          <w:szCs w:val="24"/>
        </w:rPr>
        <w:t>The following Student Learning Outcomes will be used for the counseling department (adapted from the CAS Standards)</w:t>
      </w:r>
    </w:p>
    <w:p w:rsidR="00BF6601" w:rsidRDefault="00BF6601">
      <w:pPr>
        <w:pStyle w:val="normal0"/>
      </w:pPr>
    </w:p>
    <w:p w:rsidR="00BF6601" w:rsidRDefault="00E6396C">
      <w:pPr>
        <w:pStyle w:val="normal0"/>
      </w:pPr>
      <w:r>
        <w:rPr>
          <w:sz w:val="24"/>
          <w:szCs w:val="24"/>
        </w:rPr>
        <w:t>~</w:t>
      </w:r>
      <w:r>
        <w:rPr>
          <w:i/>
          <w:sz w:val="24"/>
          <w:szCs w:val="24"/>
        </w:rPr>
        <w:t>Knowledge Acquisition: understanding knowledge from a range of disciplines; connecting knowledge to other knowledge, ideas and experiences; and relating knowledge to daily life.</w:t>
      </w:r>
    </w:p>
    <w:p w:rsidR="00BF6601" w:rsidRDefault="00BF6601">
      <w:pPr>
        <w:pStyle w:val="normal0"/>
      </w:pPr>
    </w:p>
    <w:p w:rsidR="00BF6601" w:rsidRDefault="00E6396C">
      <w:pPr>
        <w:pStyle w:val="normal0"/>
        <w:numPr>
          <w:ilvl w:val="0"/>
          <w:numId w:val="5"/>
        </w:numPr>
        <w:ind w:hanging="360"/>
        <w:contextualSpacing/>
        <w:rPr>
          <w:sz w:val="24"/>
          <w:szCs w:val="24"/>
        </w:rPr>
      </w:pPr>
      <w:r>
        <w:rPr>
          <w:sz w:val="24"/>
          <w:szCs w:val="24"/>
        </w:rPr>
        <w:t xml:space="preserve"> STAR Registration:  By Fall 2017 100% of the Maui College Student body will use STAR GPS to register for classes.</w:t>
      </w:r>
    </w:p>
    <w:p w:rsidR="00BF6601" w:rsidRDefault="00BF6601">
      <w:pPr>
        <w:pStyle w:val="normal0"/>
      </w:pPr>
    </w:p>
    <w:p w:rsidR="00BF6601" w:rsidRDefault="00E6396C">
      <w:pPr>
        <w:pStyle w:val="normal0"/>
      </w:pPr>
      <w:r>
        <w:rPr>
          <w:sz w:val="24"/>
          <w:szCs w:val="24"/>
        </w:rPr>
        <w:t>~</w:t>
      </w:r>
      <w:r>
        <w:rPr>
          <w:i/>
          <w:sz w:val="24"/>
          <w:szCs w:val="24"/>
        </w:rPr>
        <w:t xml:space="preserve">Intrapersonal Development: </w:t>
      </w:r>
      <w:r>
        <w:rPr>
          <w:rFonts w:ascii="Times New Roman" w:eastAsia="Times New Roman" w:hAnsi="Times New Roman" w:cs="Times New Roman"/>
          <w:i/>
          <w:sz w:val="26"/>
          <w:szCs w:val="26"/>
        </w:rPr>
        <w:t xml:space="preserve">Dimensions: realistic self-appraisal, self-understanding, and self-respect; identity </w:t>
      </w:r>
      <w:proofErr w:type="spellStart"/>
      <w:r>
        <w:rPr>
          <w:rFonts w:ascii="Times New Roman" w:eastAsia="Times New Roman" w:hAnsi="Times New Roman" w:cs="Times New Roman"/>
          <w:i/>
          <w:sz w:val="26"/>
          <w:szCs w:val="26"/>
        </w:rPr>
        <w:t>development</w:t>
      </w:r>
      <w:proofErr w:type="gramStart"/>
      <w:r>
        <w:rPr>
          <w:rFonts w:ascii="Times New Roman" w:eastAsia="Times New Roman" w:hAnsi="Times New Roman" w:cs="Times New Roman"/>
          <w:i/>
          <w:sz w:val="26"/>
          <w:szCs w:val="26"/>
        </w:rPr>
        <w:t>;commitment</w:t>
      </w:r>
      <w:proofErr w:type="spellEnd"/>
      <w:proofErr w:type="gramEnd"/>
      <w:r>
        <w:rPr>
          <w:rFonts w:ascii="Times New Roman" w:eastAsia="Times New Roman" w:hAnsi="Times New Roman" w:cs="Times New Roman"/>
          <w:i/>
          <w:sz w:val="26"/>
          <w:szCs w:val="26"/>
        </w:rPr>
        <w:t xml:space="preserve"> to ethics and integrity; and spiritual awareness.</w:t>
      </w:r>
    </w:p>
    <w:p w:rsidR="00BF6601" w:rsidRDefault="00BF6601">
      <w:pPr>
        <w:pStyle w:val="normal0"/>
      </w:pPr>
    </w:p>
    <w:p w:rsidR="00BF6601" w:rsidRDefault="00E6396C">
      <w:pPr>
        <w:pStyle w:val="normal0"/>
        <w:numPr>
          <w:ilvl w:val="0"/>
          <w:numId w:val="5"/>
        </w:numPr>
        <w:ind w:hanging="360"/>
        <w:contextualSpacing/>
        <w:rPr>
          <w:sz w:val="24"/>
          <w:szCs w:val="24"/>
        </w:rPr>
      </w:pPr>
      <w:r>
        <w:rPr>
          <w:sz w:val="24"/>
          <w:szCs w:val="24"/>
        </w:rPr>
        <w:t>My Success Flag Response:  By Fall 2017 75% of students who are flagged on the Early Alert (FLAG 1) will be followed up with.</w:t>
      </w:r>
    </w:p>
    <w:p w:rsidR="00BF6601" w:rsidRDefault="00BF6601">
      <w:pPr>
        <w:pStyle w:val="normal0"/>
      </w:pPr>
    </w:p>
    <w:p w:rsidR="00BF6601" w:rsidRDefault="00BF6601">
      <w:pPr>
        <w:pStyle w:val="normal0"/>
        <w:tabs>
          <w:tab w:val="right" w:pos="9340"/>
        </w:tabs>
      </w:pPr>
    </w:p>
    <w:p w:rsidR="00BF6601" w:rsidRDefault="00BF6601">
      <w:pPr>
        <w:pStyle w:val="normal0"/>
        <w:tabs>
          <w:tab w:val="right" w:pos="9340"/>
        </w:tabs>
      </w:pPr>
    </w:p>
    <w:p w:rsidR="00BF6601" w:rsidRDefault="00BF6601">
      <w:pPr>
        <w:pStyle w:val="normal0"/>
        <w:tabs>
          <w:tab w:val="right" w:pos="9340"/>
        </w:tabs>
      </w:pPr>
    </w:p>
    <w:p w:rsidR="00BF6601" w:rsidRDefault="00E6396C">
      <w:pPr>
        <w:pStyle w:val="normal0"/>
        <w:tabs>
          <w:tab w:val="right" w:pos="9340"/>
        </w:tabs>
      </w:pPr>
      <w:r>
        <w:rPr>
          <w:b/>
          <w:color w:val="FFFFFF"/>
          <w:sz w:val="24"/>
          <w:szCs w:val="24"/>
          <w:shd w:val="clear" w:color="auto" w:fill="00637F"/>
        </w:rPr>
        <w:lastRenderedPageBreak/>
        <w:t>DEPARTMENTAL DASHBOARD</w:t>
      </w:r>
      <w:r>
        <w:rPr>
          <w:noProof/>
        </w:rPr>
        <w:drawing>
          <wp:inline distT="114300" distB="114300" distL="114300" distR="114300">
            <wp:extent cx="5934075" cy="3365500"/>
            <wp:effectExtent l="0" t="0" r="0" b="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9"/>
                    <a:srcRect b="1578"/>
                    <a:stretch>
                      <a:fillRect/>
                    </a:stretch>
                  </pic:blipFill>
                  <pic:spPr>
                    <a:xfrm>
                      <a:off x="0" y="0"/>
                      <a:ext cx="5934075" cy="3365500"/>
                    </a:xfrm>
                    <a:prstGeom prst="rect">
                      <a:avLst/>
                    </a:prstGeom>
                    <a:ln/>
                  </pic:spPr>
                </pic:pic>
              </a:graphicData>
            </a:graphic>
          </wp:inline>
        </w:drawing>
      </w:r>
      <w:r>
        <w:rPr>
          <w:noProof/>
        </w:rPr>
        <w:lastRenderedPageBreak/>
        <w:drawing>
          <wp:inline distT="114300" distB="114300" distL="114300" distR="114300">
            <wp:extent cx="5934075" cy="4508500"/>
            <wp:effectExtent l="0" t="0" r="0" b="0"/>
            <wp:docPr id="3"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10"/>
                    <a:srcRect b="1593"/>
                    <a:stretch>
                      <a:fillRect/>
                    </a:stretch>
                  </pic:blipFill>
                  <pic:spPr>
                    <a:xfrm>
                      <a:off x="0" y="0"/>
                      <a:ext cx="5934075" cy="4508500"/>
                    </a:xfrm>
                    <a:prstGeom prst="rect">
                      <a:avLst/>
                    </a:prstGeom>
                    <a:ln/>
                  </pic:spPr>
                </pic:pic>
              </a:graphicData>
            </a:graphic>
          </wp:inline>
        </w:drawing>
      </w:r>
    </w:p>
    <w:p w:rsidR="00BF6601" w:rsidRDefault="00BF6601">
      <w:pPr>
        <w:pStyle w:val="normal0"/>
      </w:pPr>
    </w:p>
    <w:p w:rsidR="00BF6601" w:rsidRDefault="000D19BF">
      <w:pPr>
        <w:pStyle w:val="normal0"/>
      </w:pPr>
      <w:r>
        <w:pict>
          <v:rect id="_x0000_i1027" style="width:0;height:1.5pt" o:hralign="center" o:hrstd="t" o:hr="t" fillcolor="#a0a0a0" stroked="f"/>
        </w:pict>
      </w:r>
    </w:p>
    <w:p w:rsidR="00BF6601" w:rsidRDefault="00BF6601">
      <w:pPr>
        <w:pStyle w:val="normal0"/>
        <w:tabs>
          <w:tab w:val="right" w:pos="9340"/>
        </w:tabs>
      </w:pPr>
    </w:p>
    <w:p w:rsidR="00BF6601" w:rsidRDefault="00E6396C">
      <w:pPr>
        <w:pStyle w:val="normal0"/>
        <w:tabs>
          <w:tab w:val="right" w:pos="9340"/>
        </w:tabs>
      </w:pPr>
      <w:r>
        <w:rPr>
          <w:b/>
          <w:color w:val="FFFFFF"/>
          <w:sz w:val="24"/>
          <w:szCs w:val="24"/>
          <w:shd w:val="clear" w:color="auto" w:fill="00637F"/>
        </w:rPr>
        <w:t>POINTS OF PRIDE</w:t>
      </w:r>
      <w:r>
        <w:rPr>
          <w:b/>
          <w:color w:val="FFFFFF"/>
          <w:sz w:val="24"/>
          <w:szCs w:val="24"/>
          <w:shd w:val="clear" w:color="auto" w:fill="00637F"/>
        </w:rPr>
        <w:br/>
      </w:r>
      <w:r>
        <w:rPr>
          <w:b/>
          <w:color w:val="FFFFFF"/>
          <w:sz w:val="24"/>
          <w:szCs w:val="24"/>
          <w:shd w:val="clear" w:color="auto" w:fill="00637F"/>
        </w:rPr>
        <w:tab/>
      </w:r>
    </w:p>
    <w:p w:rsidR="00BF6601" w:rsidRDefault="00E6396C">
      <w:pPr>
        <w:pStyle w:val="normal0"/>
      </w:pPr>
      <w:r>
        <w:rPr>
          <w:sz w:val="24"/>
          <w:szCs w:val="24"/>
        </w:rPr>
        <w:t>The Counseling Department has worked to provide quality services to students and increase access points for all enrolled and prospective student.  Here is a summary of achievements:</w:t>
      </w:r>
    </w:p>
    <w:p w:rsidR="00BF6601" w:rsidRDefault="00E6396C">
      <w:pPr>
        <w:pStyle w:val="normal0"/>
        <w:numPr>
          <w:ilvl w:val="0"/>
          <w:numId w:val="1"/>
        </w:numPr>
        <w:ind w:hanging="360"/>
        <w:rPr>
          <w:sz w:val="24"/>
          <w:szCs w:val="24"/>
        </w:rPr>
      </w:pPr>
      <w:r>
        <w:rPr>
          <w:sz w:val="24"/>
          <w:szCs w:val="24"/>
        </w:rPr>
        <w:t>Continued to require all new first time students to meet with an academic advisor prior to enrollment as part of the New Student Registration process.</w:t>
      </w:r>
    </w:p>
    <w:p w:rsidR="00BF6601" w:rsidRDefault="00E6396C">
      <w:pPr>
        <w:pStyle w:val="normal0"/>
        <w:numPr>
          <w:ilvl w:val="0"/>
          <w:numId w:val="1"/>
        </w:numPr>
        <w:ind w:hanging="360"/>
        <w:rPr>
          <w:sz w:val="24"/>
          <w:szCs w:val="24"/>
        </w:rPr>
      </w:pPr>
      <w:r>
        <w:rPr>
          <w:sz w:val="24"/>
          <w:szCs w:val="24"/>
        </w:rPr>
        <w:t xml:space="preserve">Continued to expand and implement student retention software called My Success (Starfish).  This software consists of an early alert, appointment scheduling feature and student folder.  As a result of the early alert surveys, counseling responded to 800 tracking items raised utilizing the My Success tool for the Early Alert Survey.  The students were contacted to better understand what they were struggling with in the classes that raised concerns.  </w:t>
      </w:r>
    </w:p>
    <w:p w:rsidR="00BF6601" w:rsidRDefault="00E6396C">
      <w:pPr>
        <w:pStyle w:val="normal0"/>
        <w:numPr>
          <w:ilvl w:val="0"/>
          <w:numId w:val="1"/>
        </w:numPr>
        <w:ind w:hanging="360"/>
        <w:rPr>
          <w:sz w:val="24"/>
          <w:szCs w:val="24"/>
        </w:rPr>
      </w:pPr>
      <w:r>
        <w:rPr>
          <w:sz w:val="24"/>
          <w:szCs w:val="24"/>
        </w:rPr>
        <w:t>Lead builder for STAR degree audit system for Maui College.  As of Fall 2016 all programs and program plans are built and able to be used by all new students.</w:t>
      </w:r>
    </w:p>
    <w:p w:rsidR="00BF6601" w:rsidRDefault="00BF6601">
      <w:pPr>
        <w:pStyle w:val="normal0"/>
        <w:ind w:left="720"/>
      </w:pPr>
    </w:p>
    <w:p w:rsidR="00BF6601" w:rsidRDefault="00BF6601">
      <w:pPr>
        <w:pStyle w:val="normal0"/>
      </w:pPr>
    </w:p>
    <w:p w:rsidR="00BF6601" w:rsidRDefault="00E6396C">
      <w:pPr>
        <w:pStyle w:val="normal0"/>
        <w:tabs>
          <w:tab w:val="right" w:pos="9340"/>
        </w:tabs>
      </w:pPr>
      <w:r>
        <w:rPr>
          <w:b/>
          <w:color w:val="FFFFFF"/>
          <w:sz w:val="24"/>
          <w:szCs w:val="24"/>
          <w:shd w:val="clear" w:color="auto" w:fill="00637F"/>
        </w:rPr>
        <w:lastRenderedPageBreak/>
        <w:t>ASSESSMENT ACTIVITIES 2015-2016</w:t>
      </w:r>
      <w:r>
        <w:rPr>
          <w:b/>
          <w:color w:val="FFFFFF"/>
          <w:sz w:val="24"/>
          <w:szCs w:val="24"/>
          <w:shd w:val="clear" w:color="auto" w:fill="00637F"/>
        </w:rPr>
        <w:tab/>
      </w:r>
    </w:p>
    <w:p w:rsidR="00BF6601" w:rsidRDefault="00BF6601">
      <w:pPr>
        <w:pStyle w:val="normal0"/>
      </w:pPr>
    </w:p>
    <w:p w:rsidR="00BF6601" w:rsidRDefault="00E6396C">
      <w:pPr>
        <w:pStyle w:val="normal0"/>
        <w:tabs>
          <w:tab w:val="right" w:pos="9340"/>
        </w:tabs>
      </w:pPr>
      <w:r>
        <w:rPr>
          <w:b/>
          <w:sz w:val="24"/>
          <w:szCs w:val="24"/>
          <w:shd w:val="clear" w:color="auto" w:fill="CDCECD"/>
        </w:rPr>
        <w:t>Program Objective 1</w:t>
      </w:r>
      <w:r>
        <w:rPr>
          <w:b/>
          <w:sz w:val="24"/>
          <w:szCs w:val="24"/>
          <w:shd w:val="clear" w:color="auto" w:fill="CDCECD"/>
        </w:rPr>
        <w:tab/>
      </w:r>
    </w:p>
    <w:p w:rsidR="00BF6601" w:rsidRDefault="00BF6601">
      <w:pPr>
        <w:pStyle w:val="normal0"/>
      </w:pPr>
    </w:p>
    <w:p w:rsidR="00BF6601" w:rsidRDefault="00E6396C">
      <w:pPr>
        <w:pStyle w:val="normal0"/>
      </w:pPr>
      <w:r>
        <w:rPr>
          <w:sz w:val="24"/>
          <w:szCs w:val="24"/>
          <w:u w:val="single"/>
        </w:rPr>
        <w:t>Provide access and opportunities for student enrollment:</w:t>
      </w:r>
      <w:r>
        <w:rPr>
          <w:sz w:val="24"/>
          <w:szCs w:val="24"/>
        </w:rPr>
        <w:t xml:space="preserve"> Target key enrollment sectors that are underserved or have recruitment potential to expand access</w:t>
      </w:r>
    </w:p>
    <w:p w:rsidR="00BF6601" w:rsidRDefault="00BF6601">
      <w:pPr>
        <w:pStyle w:val="normal0"/>
      </w:pPr>
    </w:p>
    <w:p w:rsidR="00BF6601" w:rsidRDefault="00E6396C">
      <w:pPr>
        <w:pStyle w:val="normal0"/>
      </w:pPr>
      <w:r>
        <w:rPr>
          <w:b/>
          <w:sz w:val="24"/>
          <w:szCs w:val="24"/>
          <w:u w:val="single"/>
        </w:rPr>
        <w:t>Methods and Measures</w:t>
      </w:r>
    </w:p>
    <w:p w:rsidR="00BF6601" w:rsidRDefault="00BF6601">
      <w:pPr>
        <w:pStyle w:val="normal0"/>
      </w:pPr>
    </w:p>
    <w:p w:rsidR="00BF6601" w:rsidRDefault="00E6396C">
      <w:pPr>
        <w:pStyle w:val="normal0"/>
        <w:numPr>
          <w:ilvl w:val="0"/>
          <w:numId w:val="2"/>
        </w:numPr>
        <w:ind w:hanging="360"/>
        <w:rPr>
          <w:sz w:val="24"/>
          <w:szCs w:val="24"/>
        </w:rPr>
      </w:pPr>
      <w:r>
        <w:rPr>
          <w:sz w:val="24"/>
          <w:szCs w:val="24"/>
        </w:rPr>
        <w:t>Require all new first time students to meet with an academic advisor prior to enrollment</w:t>
      </w:r>
    </w:p>
    <w:p w:rsidR="00BF6601" w:rsidRDefault="00E6396C">
      <w:pPr>
        <w:pStyle w:val="normal0"/>
        <w:numPr>
          <w:ilvl w:val="0"/>
          <w:numId w:val="2"/>
        </w:numPr>
        <w:ind w:hanging="360"/>
        <w:rPr>
          <w:sz w:val="24"/>
          <w:szCs w:val="24"/>
        </w:rPr>
      </w:pPr>
      <w:r>
        <w:rPr>
          <w:sz w:val="24"/>
          <w:szCs w:val="24"/>
        </w:rPr>
        <w:t>Increase dual credit/enrollment opportunities with local area high schools</w:t>
      </w:r>
    </w:p>
    <w:p w:rsidR="00BF6601" w:rsidRDefault="00E6396C">
      <w:pPr>
        <w:pStyle w:val="normal0"/>
        <w:numPr>
          <w:ilvl w:val="0"/>
          <w:numId w:val="2"/>
        </w:numPr>
        <w:ind w:hanging="360"/>
        <w:rPr>
          <w:sz w:val="24"/>
          <w:szCs w:val="24"/>
        </w:rPr>
      </w:pPr>
      <w:r>
        <w:rPr>
          <w:sz w:val="24"/>
          <w:szCs w:val="24"/>
        </w:rPr>
        <w:t>Develop pathways for students to enroll at Maui College and then transfer to a four year program</w:t>
      </w:r>
    </w:p>
    <w:p w:rsidR="00BF6601" w:rsidRDefault="00E6396C">
      <w:pPr>
        <w:pStyle w:val="normal0"/>
        <w:numPr>
          <w:ilvl w:val="0"/>
          <w:numId w:val="2"/>
        </w:numPr>
        <w:ind w:hanging="360"/>
        <w:rPr>
          <w:sz w:val="24"/>
          <w:szCs w:val="24"/>
        </w:rPr>
      </w:pPr>
      <w:r>
        <w:rPr>
          <w:sz w:val="24"/>
          <w:szCs w:val="24"/>
        </w:rPr>
        <w:t xml:space="preserve">Participate in Automatic Admissions and </w:t>
      </w:r>
      <w:proofErr w:type="spellStart"/>
      <w:r>
        <w:rPr>
          <w:sz w:val="24"/>
          <w:szCs w:val="24"/>
        </w:rPr>
        <w:t>Kaʻieʻie</w:t>
      </w:r>
      <w:proofErr w:type="spellEnd"/>
      <w:r>
        <w:rPr>
          <w:sz w:val="24"/>
          <w:szCs w:val="24"/>
        </w:rPr>
        <w:t xml:space="preserve"> Transfer</w:t>
      </w:r>
    </w:p>
    <w:p w:rsidR="00BF6601" w:rsidRDefault="00BF6601">
      <w:pPr>
        <w:pStyle w:val="normal0"/>
      </w:pPr>
    </w:p>
    <w:p w:rsidR="00BF6601" w:rsidRDefault="00E6396C">
      <w:pPr>
        <w:pStyle w:val="normal0"/>
      </w:pPr>
      <w:r>
        <w:rPr>
          <w:b/>
          <w:sz w:val="24"/>
          <w:szCs w:val="24"/>
          <w:u w:val="single"/>
        </w:rPr>
        <w:t>Findings</w:t>
      </w:r>
    </w:p>
    <w:p w:rsidR="00BF6601" w:rsidRDefault="00E6396C">
      <w:pPr>
        <w:pStyle w:val="normal0"/>
      </w:pPr>
      <w:r>
        <w:rPr>
          <w:b/>
          <w:i/>
          <w:sz w:val="24"/>
          <w:szCs w:val="24"/>
        </w:rPr>
        <w:t>Early Admit (including Running Start, grant funded initiatives)</w:t>
      </w:r>
    </w:p>
    <w:tbl>
      <w:tblPr>
        <w:tblStyle w:val="a0"/>
        <w:tblW w:w="10290" w:type="dxa"/>
        <w:tblInd w:w="-15" w:type="dxa"/>
        <w:tblBorders>
          <w:top w:val="single" w:sz="6" w:space="0" w:color="555555"/>
          <w:left w:val="single" w:sz="6" w:space="0" w:color="555555"/>
          <w:bottom w:val="single" w:sz="6" w:space="0" w:color="555555"/>
          <w:right w:val="single" w:sz="6" w:space="0" w:color="555555"/>
          <w:insideH w:val="nil"/>
          <w:insideV w:val="nil"/>
        </w:tblBorders>
        <w:tblLayout w:type="fixed"/>
        <w:tblLook w:val="0000" w:firstRow="0" w:lastRow="0" w:firstColumn="0" w:lastColumn="0" w:noHBand="0" w:noVBand="0"/>
      </w:tblPr>
      <w:tblGrid>
        <w:gridCol w:w="10290"/>
      </w:tblGrid>
      <w:tr w:rsidR="00BF6601">
        <w:tc>
          <w:tcPr>
            <w:tcW w:w="10290" w:type="dxa"/>
            <w:vAlign w:val="center"/>
          </w:tcPr>
          <w:p w:rsidR="00BF6601" w:rsidRDefault="00BF6601">
            <w:pPr>
              <w:pStyle w:val="normal0"/>
              <w:widowControl w:val="0"/>
              <w:spacing w:line="276" w:lineRule="auto"/>
            </w:pPr>
          </w:p>
          <w:tbl>
            <w:tblPr>
              <w:tblStyle w:val="a"/>
              <w:tblW w:w="10251" w:type="dxa"/>
              <w:tblBorders>
                <w:top w:val="single" w:sz="6" w:space="0" w:color="CCCCCC"/>
                <w:left w:val="single" w:sz="6" w:space="0" w:color="CCCCCC"/>
                <w:bottom w:val="single" w:sz="6" w:space="0" w:color="CCCCCC"/>
                <w:right w:val="single" w:sz="6" w:space="0" w:color="CCCCCC"/>
                <w:insideH w:val="nil"/>
                <w:insideV w:val="nil"/>
              </w:tblBorders>
              <w:tblLayout w:type="fixed"/>
              <w:tblLook w:val="0000" w:firstRow="0" w:lastRow="0" w:firstColumn="0" w:lastColumn="0" w:noHBand="0" w:noVBand="0"/>
            </w:tblPr>
            <w:tblGrid>
              <w:gridCol w:w="2421"/>
              <w:gridCol w:w="1907"/>
              <w:gridCol w:w="1064"/>
              <w:gridCol w:w="1710"/>
              <w:gridCol w:w="1439"/>
              <w:gridCol w:w="1710"/>
            </w:tblGrid>
            <w:tr w:rsidR="00BF6601">
              <w:tc>
                <w:tcPr>
                  <w:tcW w:w="242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F6601" w:rsidRDefault="00BF6601">
                  <w:pPr>
                    <w:pStyle w:val="normal0"/>
                  </w:pPr>
                </w:p>
              </w:tc>
              <w:tc>
                <w:tcPr>
                  <w:tcW w:w="190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F6601" w:rsidRDefault="00E6396C">
                  <w:pPr>
                    <w:pStyle w:val="normal0"/>
                    <w:jc w:val="center"/>
                  </w:pPr>
                  <w:r>
                    <w:rPr>
                      <w:b/>
                    </w:rPr>
                    <w:t>FALL</w:t>
                  </w:r>
                </w:p>
              </w:tc>
              <w:tc>
                <w:tcPr>
                  <w:tcW w:w="106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F6601" w:rsidRDefault="00BF6601">
                  <w:pPr>
                    <w:pStyle w:val="normal0"/>
                    <w:jc w:val="center"/>
                  </w:pPr>
                </w:p>
              </w:tc>
              <w:tc>
                <w:tcPr>
                  <w:tcW w:w="17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F6601" w:rsidRDefault="00E6396C">
                  <w:pPr>
                    <w:pStyle w:val="normal0"/>
                    <w:jc w:val="center"/>
                  </w:pPr>
                  <w:r>
                    <w:rPr>
                      <w:b/>
                    </w:rPr>
                    <w:t>SPRING</w:t>
                  </w:r>
                </w:p>
              </w:tc>
              <w:tc>
                <w:tcPr>
                  <w:tcW w:w="143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F6601" w:rsidRDefault="00BF6601">
                  <w:pPr>
                    <w:pStyle w:val="normal0"/>
                    <w:jc w:val="center"/>
                  </w:pPr>
                </w:p>
              </w:tc>
              <w:tc>
                <w:tcPr>
                  <w:tcW w:w="17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F6601" w:rsidRDefault="00E6396C">
                  <w:pPr>
                    <w:pStyle w:val="normal0"/>
                    <w:jc w:val="center"/>
                  </w:pPr>
                  <w:r>
                    <w:rPr>
                      <w:b/>
                    </w:rPr>
                    <w:t>SUMMER</w:t>
                  </w:r>
                </w:p>
              </w:tc>
            </w:tr>
            <w:tr w:rsidR="00BF6601">
              <w:tc>
                <w:tcPr>
                  <w:tcW w:w="2422" w:type="dxa"/>
                  <w:tcBorders>
                    <w:top w:val="single" w:sz="6" w:space="0" w:color="000000"/>
                    <w:left w:val="single" w:sz="6" w:space="0" w:color="000000"/>
                    <w:bottom w:val="single" w:sz="6" w:space="0" w:color="000000"/>
                    <w:right w:val="single" w:sz="6" w:space="0" w:color="000000"/>
                  </w:tcBorders>
                  <w:shd w:val="clear" w:color="auto" w:fill="FFD062"/>
                  <w:tcMar>
                    <w:top w:w="15" w:type="dxa"/>
                    <w:left w:w="75" w:type="dxa"/>
                    <w:bottom w:w="15" w:type="dxa"/>
                    <w:right w:w="15" w:type="dxa"/>
                  </w:tcMar>
                  <w:vAlign w:val="center"/>
                </w:tcPr>
                <w:p w:rsidR="00BF6601" w:rsidRDefault="00BF6601">
                  <w:pPr>
                    <w:pStyle w:val="normal0"/>
                  </w:pPr>
                </w:p>
              </w:tc>
              <w:tc>
                <w:tcPr>
                  <w:tcW w:w="1907" w:type="dxa"/>
                  <w:tcBorders>
                    <w:top w:val="single" w:sz="6" w:space="0" w:color="000000"/>
                    <w:left w:val="single" w:sz="6" w:space="0" w:color="000000"/>
                    <w:bottom w:val="single" w:sz="6" w:space="0" w:color="000000"/>
                    <w:right w:val="single" w:sz="6" w:space="0" w:color="000000"/>
                  </w:tcBorders>
                  <w:shd w:val="clear" w:color="auto" w:fill="FFD062"/>
                  <w:tcMar>
                    <w:top w:w="15" w:type="dxa"/>
                    <w:left w:w="15" w:type="dxa"/>
                    <w:bottom w:w="15" w:type="dxa"/>
                    <w:right w:w="45" w:type="dxa"/>
                  </w:tcMar>
                  <w:vAlign w:val="center"/>
                </w:tcPr>
                <w:p w:rsidR="00BF6601" w:rsidRDefault="00BF6601">
                  <w:pPr>
                    <w:pStyle w:val="normal0"/>
                  </w:pPr>
                </w:p>
              </w:tc>
              <w:tc>
                <w:tcPr>
                  <w:tcW w:w="1064" w:type="dxa"/>
                  <w:tcBorders>
                    <w:top w:val="single" w:sz="6" w:space="0" w:color="000000"/>
                    <w:left w:val="single" w:sz="6" w:space="0" w:color="000000"/>
                    <w:bottom w:val="single" w:sz="6" w:space="0" w:color="000000"/>
                    <w:right w:val="single" w:sz="6" w:space="0" w:color="000000"/>
                  </w:tcBorders>
                  <w:shd w:val="clear" w:color="auto" w:fill="FFD062"/>
                  <w:tcMar>
                    <w:top w:w="15" w:type="dxa"/>
                    <w:left w:w="15" w:type="dxa"/>
                    <w:bottom w:w="15" w:type="dxa"/>
                    <w:right w:w="45" w:type="dxa"/>
                  </w:tcMar>
                  <w:vAlign w:val="center"/>
                </w:tcPr>
                <w:p w:rsidR="00BF6601" w:rsidRDefault="00BF6601">
                  <w:pPr>
                    <w:pStyle w:val="normal0"/>
                  </w:pPr>
                </w:p>
              </w:tc>
              <w:tc>
                <w:tcPr>
                  <w:tcW w:w="1710" w:type="dxa"/>
                  <w:tcBorders>
                    <w:top w:val="single" w:sz="6" w:space="0" w:color="000000"/>
                    <w:left w:val="single" w:sz="6" w:space="0" w:color="000000"/>
                    <w:bottom w:val="single" w:sz="6" w:space="0" w:color="000000"/>
                    <w:right w:val="single" w:sz="6" w:space="0" w:color="000000"/>
                  </w:tcBorders>
                  <w:shd w:val="clear" w:color="auto" w:fill="FFD062"/>
                  <w:tcMar>
                    <w:top w:w="15" w:type="dxa"/>
                    <w:left w:w="15" w:type="dxa"/>
                    <w:bottom w:w="15" w:type="dxa"/>
                    <w:right w:w="45" w:type="dxa"/>
                  </w:tcMar>
                  <w:vAlign w:val="center"/>
                </w:tcPr>
                <w:p w:rsidR="00BF6601" w:rsidRDefault="00BF6601">
                  <w:pPr>
                    <w:pStyle w:val="normal0"/>
                  </w:pPr>
                </w:p>
              </w:tc>
              <w:tc>
                <w:tcPr>
                  <w:tcW w:w="1439" w:type="dxa"/>
                  <w:tcBorders>
                    <w:top w:val="single" w:sz="6" w:space="0" w:color="000000"/>
                    <w:left w:val="single" w:sz="6" w:space="0" w:color="000000"/>
                    <w:bottom w:val="single" w:sz="6" w:space="0" w:color="000000"/>
                    <w:right w:val="single" w:sz="6" w:space="0" w:color="000000"/>
                  </w:tcBorders>
                  <w:shd w:val="clear" w:color="auto" w:fill="FFD062"/>
                  <w:tcMar>
                    <w:top w:w="15" w:type="dxa"/>
                    <w:left w:w="15" w:type="dxa"/>
                    <w:bottom w:w="15" w:type="dxa"/>
                    <w:right w:w="45" w:type="dxa"/>
                  </w:tcMar>
                  <w:vAlign w:val="center"/>
                </w:tcPr>
                <w:p w:rsidR="00BF6601" w:rsidRDefault="00BF6601">
                  <w:pPr>
                    <w:pStyle w:val="normal0"/>
                  </w:pPr>
                </w:p>
              </w:tc>
              <w:tc>
                <w:tcPr>
                  <w:tcW w:w="1710" w:type="dxa"/>
                  <w:tcBorders>
                    <w:top w:val="single" w:sz="6" w:space="0" w:color="000000"/>
                    <w:left w:val="single" w:sz="6" w:space="0" w:color="000000"/>
                    <w:bottom w:val="single" w:sz="6" w:space="0" w:color="000000"/>
                    <w:right w:val="single" w:sz="6" w:space="0" w:color="000000"/>
                  </w:tcBorders>
                  <w:shd w:val="clear" w:color="auto" w:fill="FFD062"/>
                  <w:tcMar>
                    <w:top w:w="15" w:type="dxa"/>
                    <w:left w:w="15" w:type="dxa"/>
                    <w:bottom w:w="15" w:type="dxa"/>
                    <w:right w:w="45" w:type="dxa"/>
                  </w:tcMar>
                  <w:vAlign w:val="center"/>
                </w:tcPr>
                <w:p w:rsidR="00BF6601" w:rsidRDefault="00BF6601">
                  <w:pPr>
                    <w:pStyle w:val="normal0"/>
                  </w:pPr>
                </w:p>
              </w:tc>
            </w:tr>
            <w:tr w:rsidR="00BF6601">
              <w:tc>
                <w:tcPr>
                  <w:tcW w:w="2422" w:type="dxa"/>
                  <w:tcBorders>
                    <w:top w:val="single" w:sz="6" w:space="0" w:color="000000"/>
                    <w:left w:val="single" w:sz="6" w:space="0" w:color="000000"/>
                    <w:bottom w:val="single" w:sz="6" w:space="0" w:color="000000"/>
                    <w:right w:val="single" w:sz="6" w:space="0" w:color="000000"/>
                  </w:tcBorders>
                  <w:shd w:val="clear" w:color="auto" w:fill="FFF5D7"/>
                  <w:tcMar>
                    <w:top w:w="15" w:type="dxa"/>
                    <w:left w:w="300" w:type="dxa"/>
                    <w:bottom w:w="15" w:type="dxa"/>
                    <w:right w:w="15" w:type="dxa"/>
                  </w:tcMar>
                  <w:vAlign w:val="center"/>
                </w:tcPr>
                <w:p w:rsidR="00BF6601" w:rsidRDefault="00E6396C">
                  <w:pPr>
                    <w:pStyle w:val="normal0"/>
                  </w:pPr>
                  <w:r>
                    <w:t>2015-2016</w:t>
                  </w:r>
                </w:p>
              </w:tc>
              <w:tc>
                <w:tcPr>
                  <w:tcW w:w="19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45" w:type="dxa"/>
                  </w:tcMar>
                  <w:vAlign w:val="center"/>
                </w:tcPr>
                <w:p w:rsidR="00BF6601" w:rsidRDefault="00E6396C">
                  <w:pPr>
                    <w:pStyle w:val="normal0"/>
                    <w:jc w:val="center"/>
                  </w:pPr>
                  <w:r>
                    <w:t xml:space="preserve"> 254</w:t>
                  </w:r>
                </w:p>
              </w:tc>
              <w:tc>
                <w:tcPr>
                  <w:tcW w:w="106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45" w:type="dxa"/>
                  </w:tcMar>
                  <w:vAlign w:val="center"/>
                </w:tcPr>
                <w:p w:rsidR="00BF6601" w:rsidRDefault="00BF6601">
                  <w:pPr>
                    <w:pStyle w:val="normal0"/>
                    <w:jc w:val="center"/>
                  </w:pPr>
                </w:p>
              </w:tc>
              <w:tc>
                <w:tcPr>
                  <w:tcW w:w="17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45" w:type="dxa"/>
                  </w:tcMar>
                  <w:vAlign w:val="center"/>
                </w:tcPr>
                <w:p w:rsidR="00BF6601" w:rsidRDefault="00E6396C">
                  <w:pPr>
                    <w:pStyle w:val="normal0"/>
                    <w:jc w:val="center"/>
                  </w:pPr>
                  <w:r>
                    <w:t xml:space="preserve">270 </w:t>
                  </w:r>
                </w:p>
              </w:tc>
              <w:tc>
                <w:tcPr>
                  <w:tcW w:w="143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45" w:type="dxa"/>
                  </w:tcMar>
                  <w:vAlign w:val="center"/>
                </w:tcPr>
                <w:p w:rsidR="00BF6601" w:rsidRDefault="00BF6601">
                  <w:pPr>
                    <w:pStyle w:val="normal0"/>
                    <w:jc w:val="center"/>
                  </w:pPr>
                </w:p>
              </w:tc>
              <w:tc>
                <w:tcPr>
                  <w:tcW w:w="17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45" w:type="dxa"/>
                  </w:tcMar>
                  <w:vAlign w:val="center"/>
                </w:tcPr>
                <w:p w:rsidR="00BF6601" w:rsidRDefault="00E6396C">
                  <w:pPr>
                    <w:pStyle w:val="normal0"/>
                    <w:jc w:val="center"/>
                  </w:pPr>
                  <w:r>
                    <w:t xml:space="preserve">141 </w:t>
                  </w:r>
                </w:p>
              </w:tc>
            </w:tr>
            <w:tr w:rsidR="00BF6601">
              <w:tc>
                <w:tcPr>
                  <w:tcW w:w="2422" w:type="dxa"/>
                  <w:tcBorders>
                    <w:top w:val="single" w:sz="6" w:space="0" w:color="000000"/>
                    <w:left w:val="single" w:sz="6" w:space="0" w:color="000000"/>
                    <w:bottom w:val="single" w:sz="6" w:space="0" w:color="000000"/>
                    <w:right w:val="single" w:sz="6" w:space="0" w:color="000000"/>
                  </w:tcBorders>
                  <w:shd w:val="clear" w:color="auto" w:fill="FFF5D7"/>
                  <w:tcMar>
                    <w:top w:w="15" w:type="dxa"/>
                    <w:left w:w="300" w:type="dxa"/>
                    <w:bottom w:w="15" w:type="dxa"/>
                    <w:right w:w="15" w:type="dxa"/>
                  </w:tcMar>
                  <w:vAlign w:val="center"/>
                </w:tcPr>
                <w:p w:rsidR="00BF6601" w:rsidRDefault="00E6396C">
                  <w:pPr>
                    <w:pStyle w:val="normal0"/>
                  </w:pPr>
                  <w:r>
                    <w:t>2014-2015</w:t>
                  </w:r>
                </w:p>
              </w:tc>
              <w:tc>
                <w:tcPr>
                  <w:tcW w:w="19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45" w:type="dxa"/>
                  </w:tcMar>
                  <w:vAlign w:val="center"/>
                </w:tcPr>
                <w:p w:rsidR="00BF6601" w:rsidRDefault="00E6396C">
                  <w:pPr>
                    <w:pStyle w:val="normal0"/>
                    <w:jc w:val="center"/>
                  </w:pPr>
                  <w:r>
                    <w:t>121</w:t>
                  </w:r>
                </w:p>
              </w:tc>
              <w:tc>
                <w:tcPr>
                  <w:tcW w:w="106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45" w:type="dxa"/>
                  </w:tcMar>
                  <w:vAlign w:val="center"/>
                </w:tcPr>
                <w:p w:rsidR="00BF6601" w:rsidRDefault="00BF6601">
                  <w:pPr>
                    <w:pStyle w:val="normal0"/>
                    <w:jc w:val="center"/>
                  </w:pPr>
                </w:p>
              </w:tc>
              <w:tc>
                <w:tcPr>
                  <w:tcW w:w="17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45" w:type="dxa"/>
                  </w:tcMar>
                  <w:vAlign w:val="center"/>
                </w:tcPr>
                <w:p w:rsidR="00BF6601" w:rsidRDefault="00E6396C">
                  <w:pPr>
                    <w:pStyle w:val="normal0"/>
                    <w:jc w:val="center"/>
                  </w:pPr>
                  <w:r>
                    <w:t>151</w:t>
                  </w:r>
                </w:p>
              </w:tc>
              <w:tc>
                <w:tcPr>
                  <w:tcW w:w="143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45" w:type="dxa"/>
                  </w:tcMar>
                  <w:vAlign w:val="center"/>
                </w:tcPr>
                <w:p w:rsidR="00BF6601" w:rsidRDefault="00BF6601">
                  <w:pPr>
                    <w:pStyle w:val="normal0"/>
                    <w:jc w:val="center"/>
                  </w:pPr>
                </w:p>
              </w:tc>
              <w:tc>
                <w:tcPr>
                  <w:tcW w:w="17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45" w:type="dxa"/>
                  </w:tcMar>
                  <w:vAlign w:val="center"/>
                </w:tcPr>
                <w:p w:rsidR="00BF6601" w:rsidRDefault="00E6396C">
                  <w:pPr>
                    <w:pStyle w:val="normal0"/>
                    <w:jc w:val="center"/>
                  </w:pPr>
                  <w:r>
                    <w:t>13</w:t>
                  </w:r>
                </w:p>
              </w:tc>
            </w:tr>
            <w:tr w:rsidR="00BF6601">
              <w:trPr>
                <w:trHeight w:val="280"/>
              </w:trPr>
              <w:tc>
                <w:tcPr>
                  <w:tcW w:w="2422" w:type="dxa"/>
                  <w:tcBorders>
                    <w:top w:val="single" w:sz="6" w:space="0" w:color="000000"/>
                    <w:left w:val="single" w:sz="6" w:space="0" w:color="000000"/>
                    <w:bottom w:val="single" w:sz="6" w:space="0" w:color="000000"/>
                    <w:right w:val="single" w:sz="6" w:space="0" w:color="000000"/>
                  </w:tcBorders>
                  <w:shd w:val="clear" w:color="auto" w:fill="FFF5D7"/>
                  <w:tcMar>
                    <w:top w:w="15" w:type="dxa"/>
                    <w:left w:w="300" w:type="dxa"/>
                    <w:bottom w:w="15" w:type="dxa"/>
                    <w:right w:w="15" w:type="dxa"/>
                  </w:tcMar>
                  <w:vAlign w:val="center"/>
                </w:tcPr>
                <w:p w:rsidR="00BF6601" w:rsidRDefault="00E6396C">
                  <w:pPr>
                    <w:pStyle w:val="normal0"/>
                  </w:pPr>
                  <w:r>
                    <w:t>2013-2014</w:t>
                  </w:r>
                </w:p>
              </w:tc>
              <w:tc>
                <w:tcPr>
                  <w:tcW w:w="19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45" w:type="dxa"/>
                  </w:tcMar>
                  <w:vAlign w:val="center"/>
                </w:tcPr>
                <w:p w:rsidR="00BF6601" w:rsidRDefault="00E6396C">
                  <w:pPr>
                    <w:pStyle w:val="normal0"/>
                    <w:jc w:val="center"/>
                  </w:pPr>
                  <w:r>
                    <w:t>120</w:t>
                  </w:r>
                </w:p>
              </w:tc>
              <w:tc>
                <w:tcPr>
                  <w:tcW w:w="106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45" w:type="dxa"/>
                  </w:tcMar>
                  <w:vAlign w:val="center"/>
                </w:tcPr>
                <w:p w:rsidR="00BF6601" w:rsidRDefault="00BF6601">
                  <w:pPr>
                    <w:pStyle w:val="normal0"/>
                    <w:jc w:val="center"/>
                  </w:pPr>
                </w:p>
              </w:tc>
              <w:tc>
                <w:tcPr>
                  <w:tcW w:w="17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45" w:type="dxa"/>
                  </w:tcMar>
                  <w:vAlign w:val="center"/>
                </w:tcPr>
                <w:p w:rsidR="00BF6601" w:rsidRDefault="00E6396C">
                  <w:pPr>
                    <w:pStyle w:val="normal0"/>
                    <w:jc w:val="center"/>
                  </w:pPr>
                  <w:r>
                    <w:t>96</w:t>
                  </w:r>
                </w:p>
              </w:tc>
              <w:tc>
                <w:tcPr>
                  <w:tcW w:w="143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45" w:type="dxa"/>
                  </w:tcMar>
                  <w:vAlign w:val="center"/>
                </w:tcPr>
                <w:p w:rsidR="00BF6601" w:rsidRDefault="00BF6601">
                  <w:pPr>
                    <w:pStyle w:val="normal0"/>
                    <w:jc w:val="center"/>
                  </w:pPr>
                </w:p>
              </w:tc>
              <w:tc>
                <w:tcPr>
                  <w:tcW w:w="17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45" w:type="dxa"/>
                  </w:tcMar>
                  <w:vAlign w:val="center"/>
                </w:tcPr>
                <w:p w:rsidR="00BF6601" w:rsidRDefault="00E6396C">
                  <w:pPr>
                    <w:pStyle w:val="normal0"/>
                    <w:jc w:val="center"/>
                  </w:pPr>
                  <w:r>
                    <w:t>11</w:t>
                  </w:r>
                </w:p>
              </w:tc>
            </w:tr>
            <w:tr w:rsidR="00BF6601">
              <w:tc>
                <w:tcPr>
                  <w:tcW w:w="2422" w:type="dxa"/>
                  <w:tcBorders>
                    <w:top w:val="single" w:sz="6" w:space="0" w:color="000000"/>
                    <w:left w:val="single" w:sz="6" w:space="0" w:color="000000"/>
                    <w:bottom w:val="single" w:sz="6" w:space="0" w:color="000000"/>
                    <w:right w:val="single" w:sz="6" w:space="0" w:color="000000"/>
                  </w:tcBorders>
                  <w:shd w:val="clear" w:color="auto" w:fill="FFF5D7"/>
                  <w:tcMar>
                    <w:top w:w="15" w:type="dxa"/>
                    <w:left w:w="300" w:type="dxa"/>
                    <w:bottom w:w="15" w:type="dxa"/>
                    <w:right w:w="15" w:type="dxa"/>
                  </w:tcMar>
                  <w:vAlign w:val="center"/>
                </w:tcPr>
                <w:p w:rsidR="00BF6601" w:rsidRDefault="00E6396C">
                  <w:pPr>
                    <w:pStyle w:val="normal0"/>
                  </w:pPr>
                  <w:r>
                    <w:t>2012 - 2013</w:t>
                  </w:r>
                </w:p>
              </w:tc>
              <w:tc>
                <w:tcPr>
                  <w:tcW w:w="19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45" w:type="dxa"/>
                  </w:tcMar>
                  <w:vAlign w:val="center"/>
                </w:tcPr>
                <w:p w:rsidR="00BF6601" w:rsidRDefault="00E6396C">
                  <w:pPr>
                    <w:pStyle w:val="normal0"/>
                    <w:jc w:val="center"/>
                  </w:pPr>
                  <w:r>
                    <w:t>62</w:t>
                  </w:r>
                </w:p>
              </w:tc>
              <w:tc>
                <w:tcPr>
                  <w:tcW w:w="106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45" w:type="dxa"/>
                  </w:tcMar>
                  <w:vAlign w:val="center"/>
                </w:tcPr>
                <w:p w:rsidR="00BF6601" w:rsidRDefault="00BF6601">
                  <w:pPr>
                    <w:pStyle w:val="normal0"/>
                    <w:jc w:val="center"/>
                  </w:pPr>
                </w:p>
              </w:tc>
              <w:tc>
                <w:tcPr>
                  <w:tcW w:w="17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45" w:type="dxa"/>
                  </w:tcMar>
                  <w:vAlign w:val="center"/>
                </w:tcPr>
                <w:p w:rsidR="00BF6601" w:rsidRDefault="00E6396C">
                  <w:pPr>
                    <w:pStyle w:val="normal0"/>
                    <w:jc w:val="center"/>
                  </w:pPr>
                  <w:r>
                    <w:t>57</w:t>
                  </w:r>
                </w:p>
              </w:tc>
              <w:tc>
                <w:tcPr>
                  <w:tcW w:w="143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45" w:type="dxa"/>
                  </w:tcMar>
                  <w:vAlign w:val="center"/>
                </w:tcPr>
                <w:p w:rsidR="00BF6601" w:rsidRDefault="00BF6601">
                  <w:pPr>
                    <w:pStyle w:val="normal0"/>
                    <w:jc w:val="center"/>
                  </w:pPr>
                </w:p>
              </w:tc>
              <w:tc>
                <w:tcPr>
                  <w:tcW w:w="17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45" w:type="dxa"/>
                  </w:tcMar>
                  <w:vAlign w:val="center"/>
                </w:tcPr>
                <w:p w:rsidR="00BF6601" w:rsidRDefault="00E6396C">
                  <w:pPr>
                    <w:pStyle w:val="normal0"/>
                    <w:jc w:val="center"/>
                  </w:pPr>
                  <w:r>
                    <w:t>3</w:t>
                  </w:r>
                </w:p>
              </w:tc>
            </w:tr>
          </w:tbl>
          <w:p w:rsidR="00BF6601" w:rsidRDefault="00BF6601">
            <w:pPr>
              <w:pStyle w:val="normal0"/>
            </w:pPr>
          </w:p>
        </w:tc>
      </w:tr>
    </w:tbl>
    <w:p w:rsidR="00BF6601" w:rsidRDefault="00BF6601">
      <w:pPr>
        <w:pStyle w:val="normal0"/>
      </w:pPr>
    </w:p>
    <w:p w:rsidR="00BF6601" w:rsidRDefault="00BF6601">
      <w:pPr>
        <w:pStyle w:val="normal0"/>
      </w:pPr>
    </w:p>
    <w:p w:rsidR="00BF6601" w:rsidRDefault="00BF6601">
      <w:pPr>
        <w:pStyle w:val="normal0"/>
      </w:pPr>
    </w:p>
    <w:p w:rsidR="00BF6601" w:rsidRDefault="00E6396C">
      <w:pPr>
        <w:pStyle w:val="normal0"/>
      </w:pPr>
      <w:r>
        <w:rPr>
          <w:b/>
          <w:i/>
          <w:sz w:val="24"/>
          <w:szCs w:val="24"/>
        </w:rPr>
        <w:t xml:space="preserve">Automatic Admissions- </w:t>
      </w:r>
      <w:r>
        <w:rPr>
          <w:sz w:val="24"/>
          <w:szCs w:val="24"/>
        </w:rPr>
        <w:t xml:space="preserve">automatic admissions to one of the four-year UH schools including UH </w:t>
      </w:r>
      <w:proofErr w:type="spellStart"/>
      <w:r>
        <w:rPr>
          <w:sz w:val="24"/>
          <w:szCs w:val="24"/>
        </w:rPr>
        <w:t>Manoa</w:t>
      </w:r>
      <w:proofErr w:type="spellEnd"/>
      <w:r>
        <w:rPr>
          <w:sz w:val="24"/>
          <w:szCs w:val="24"/>
        </w:rPr>
        <w:t xml:space="preserve">, Hilo and West </w:t>
      </w:r>
      <w:proofErr w:type="spellStart"/>
      <w:r>
        <w:rPr>
          <w:sz w:val="24"/>
          <w:szCs w:val="24"/>
        </w:rPr>
        <w:t>O’ahu</w:t>
      </w:r>
      <w:proofErr w:type="spellEnd"/>
      <w:r>
        <w:rPr>
          <w:sz w:val="24"/>
          <w:szCs w:val="24"/>
        </w:rPr>
        <w:t>.</w:t>
      </w:r>
    </w:p>
    <w:p w:rsidR="00BF6601" w:rsidRDefault="00BF6601">
      <w:pPr>
        <w:pStyle w:val="normal0"/>
        <w:widowControl w:val="0"/>
        <w:spacing w:line="276" w:lineRule="auto"/>
      </w:pPr>
    </w:p>
    <w:tbl>
      <w:tblPr>
        <w:tblStyle w:val="a1"/>
        <w:tblW w:w="8955" w:type="dxa"/>
        <w:tblBorders>
          <w:top w:val="single" w:sz="6" w:space="0" w:color="CCCCCC"/>
          <w:left w:val="single" w:sz="6" w:space="0" w:color="CCCCCC"/>
          <w:bottom w:val="single" w:sz="6" w:space="0" w:color="CCCCCC"/>
          <w:right w:val="single" w:sz="6" w:space="0" w:color="CCCCCC"/>
          <w:insideH w:val="nil"/>
          <w:insideV w:val="nil"/>
        </w:tblBorders>
        <w:tblLayout w:type="fixed"/>
        <w:tblLook w:val="0000" w:firstRow="0" w:lastRow="0" w:firstColumn="0" w:lastColumn="0" w:noHBand="0" w:noVBand="0"/>
      </w:tblPr>
      <w:tblGrid>
        <w:gridCol w:w="2205"/>
        <w:gridCol w:w="2340"/>
        <w:gridCol w:w="1470"/>
        <w:gridCol w:w="2940"/>
      </w:tblGrid>
      <w:tr w:rsidR="00BF6601">
        <w:trPr>
          <w:trHeight w:val="460"/>
        </w:trPr>
        <w:tc>
          <w:tcPr>
            <w:tcW w:w="22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F6601" w:rsidRDefault="00BF6601">
            <w:pPr>
              <w:pStyle w:val="normal0"/>
            </w:pPr>
          </w:p>
        </w:tc>
        <w:tc>
          <w:tcPr>
            <w:tcW w:w="23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F6601" w:rsidRDefault="00E6396C">
            <w:pPr>
              <w:pStyle w:val="normal0"/>
              <w:jc w:val="center"/>
            </w:pPr>
            <w:r>
              <w:rPr>
                <w:b/>
              </w:rPr>
              <w:t>FALL</w:t>
            </w:r>
          </w:p>
        </w:tc>
        <w:tc>
          <w:tcPr>
            <w:tcW w:w="147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F6601" w:rsidRDefault="00BF6601">
            <w:pPr>
              <w:pStyle w:val="normal0"/>
              <w:jc w:val="center"/>
            </w:pPr>
          </w:p>
        </w:tc>
        <w:tc>
          <w:tcPr>
            <w:tcW w:w="29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F6601" w:rsidRDefault="00E6396C">
            <w:pPr>
              <w:pStyle w:val="normal0"/>
              <w:jc w:val="center"/>
            </w:pPr>
            <w:r>
              <w:rPr>
                <w:b/>
              </w:rPr>
              <w:t>SPRING</w:t>
            </w:r>
          </w:p>
        </w:tc>
      </w:tr>
      <w:tr w:rsidR="00BF6601">
        <w:tc>
          <w:tcPr>
            <w:tcW w:w="2205" w:type="dxa"/>
            <w:tcBorders>
              <w:top w:val="single" w:sz="6" w:space="0" w:color="000000"/>
              <w:left w:val="single" w:sz="6" w:space="0" w:color="000000"/>
              <w:bottom w:val="single" w:sz="6" w:space="0" w:color="000000"/>
              <w:right w:val="single" w:sz="6" w:space="0" w:color="000000"/>
            </w:tcBorders>
            <w:shd w:val="clear" w:color="auto" w:fill="FFD062"/>
            <w:tcMar>
              <w:top w:w="15" w:type="dxa"/>
              <w:left w:w="75" w:type="dxa"/>
              <w:bottom w:w="15" w:type="dxa"/>
              <w:right w:w="15" w:type="dxa"/>
            </w:tcMar>
            <w:vAlign w:val="center"/>
          </w:tcPr>
          <w:p w:rsidR="00BF6601" w:rsidRDefault="00BF6601">
            <w:pPr>
              <w:pStyle w:val="normal0"/>
            </w:pPr>
          </w:p>
        </w:tc>
        <w:tc>
          <w:tcPr>
            <w:tcW w:w="2340" w:type="dxa"/>
            <w:tcBorders>
              <w:top w:val="single" w:sz="6" w:space="0" w:color="000000"/>
              <w:left w:val="single" w:sz="6" w:space="0" w:color="000000"/>
              <w:bottom w:val="single" w:sz="6" w:space="0" w:color="000000"/>
              <w:right w:val="single" w:sz="6" w:space="0" w:color="000000"/>
            </w:tcBorders>
            <w:shd w:val="clear" w:color="auto" w:fill="FFD062"/>
            <w:tcMar>
              <w:top w:w="15" w:type="dxa"/>
              <w:left w:w="15" w:type="dxa"/>
              <w:bottom w:w="15" w:type="dxa"/>
              <w:right w:w="45" w:type="dxa"/>
            </w:tcMar>
            <w:vAlign w:val="center"/>
          </w:tcPr>
          <w:p w:rsidR="00BF6601" w:rsidRDefault="00BF6601">
            <w:pPr>
              <w:pStyle w:val="normal0"/>
            </w:pPr>
          </w:p>
        </w:tc>
        <w:tc>
          <w:tcPr>
            <w:tcW w:w="1470" w:type="dxa"/>
            <w:tcBorders>
              <w:top w:val="single" w:sz="6" w:space="0" w:color="000000"/>
              <w:left w:val="single" w:sz="6" w:space="0" w:color="000000"/>
              <w:bottom w:val="single" w:sz="6" w:space="0" w:color="000000"/>
              <w:right w:val="single" w:sz="6" w:space="0" w:color="000000"/>
            </w:tcBorders>
            <w:shd w:val="clear" w:color="auto" w:fill="FFD062"/>
            <w:tcMar>
              <w:top w:w="15" w:type="dxa"/>
              <w:left w:w="15" w:type="dxa"/>
              <w:bottom w:w="15" w:type="dxa"/>
              <w:right w:w="45" w:type="dxa"/>
            </w:tcMar>
            <w:vAlign w:val="center"/>
          </w:tcPr>
          <w:p w:rsidR="00BF6601" w:rsidRDefault="00BF6601">
            <w:pPr>
              <w:pStyle w:val="normal0"/>
            </w:pPr>
          </w:p>
        </w:tc>
        <w:tc>
          <w:tcPr>
            <w:tcW w:w="2940" w:type="dxa"/>
            <w:tcBorders>
              <w:top w:val="single" w:sz="6" w:space="0" w:color="000000"/>
              <w:left w:val="single" w:sz="6" w:space="0" w:color="000000"/>
              <w:bottom w:val="single" w:sz="6" w:space="0" w:color="000000"/>
              <w:right w:val="single" w:sz="6" w:space="0" w:color="000000"/>
            </w:tcBorders>
            <w:shd w:val="clear" w:color="auto" w:fill="FFD062"/>
            <w:tcMar>
              <w:top w:w="15" w:type="dxa"/>
              <w:left w:w="15" w:type="dxa"/>
              <w:bottom w:w="15" w:type="dxa"/>
              <w:right w:w="45" w:type="dxa"/>
            </w:tcMar>
            <w:vAlign w:val="center"/>
          </w:tcPr>
          <w:p w:rsidR="00BF6601" w:rsidRDefault="00BF6601">
            <w:pPr>
              <w:pStyle w:val="normal0"/>
            </w:pPr>
          </w:p>
        </w:tc>
      </w:tr>
      <w:tr w:rsidR="00BF6601">
        <w:tc>
          <w:tcPr>
            <w:tcW w:w="2205" w:type="dxa"/>
            <w:tcBorders>
              <w:top w:val="single" w:sz="6" w:space="0" w:color="000000"/>
              <w:left w:val="single" w:sz="6" w:space="0" w:color="000000"/>
              <w:bottom w:val="single" w:sz="6" w:space="0" w:color="000000"/>
              <w:right w:val="single" w:sz="6" w:space="0" w:color="000000"/>
            </w:tcBorders>
            <w:shd w:val="clear" w:color="auto" w:fill="FFF5D7"/>
            <w:tcMar>
              <w:top w:w="15" w:type="dxa"/>
              <w:left w:w="300" w:type="dxa"/>
              <w:bottom w:w="15" w:type="dxa"/>
              <w:right w:w="15" w:type="dxa"/>
            </w:tcMar>
            <w:vAlign w:val="center"/>
          </w:tcPr>
          <w:p w:rsidR="00BF6601" w:rsidRDefault="00E6396C">
            <w:pPr>
              <w:pStyle w:val="normal0"/>
            </w:pPr>
            <w:r>
              <w:t>2015-2016</w:t>
            </w:r>
          </w:p>
        </w:tc>
        <w:tc>
          <w:tcPr>
            <w:tcW w:w="23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45" w:type="dxa"/>
            </w:tcMar>
            <w:vAlign w:val="center"/>
          </w:tcPr>
          <w:p w:rsidR="00BF6601" w:rsidRDefault="00E6396C">
            <w:pPr>
              <w:pStyle w:val="normal0"/>
              <w:jc w:val="center"/>
            </w:pPr>
            <w:r>
              <w:t xml:space="preserve"> 35</w:t>
            </w:r>
          </w:p>
        </w:tc>
        <w:tc>
          <w:tcPr>
            <w:tcW w:w="147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45" w:type="dxa"/>
            </w:tcMar>
            <w:vAlign w:val="center"/>
          </w:tcPr>
          <w:p w:rsidR="00BF6601" w:rsidRDefault="00BF6601">
            <w:pPr>
              <w:pStyle w:val="normal0"/>
              <w:jc w:val="center"/>
            </w:pPr>
          </w:p>
        </w:tc>
        <w:tc>
          <w:tcPr>
            <w:tcW w:w="29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45" w:type="dxa"/>
            </w:tcMar>
            <w:vAlign w:val="center"/>
          </w:tcPr>
          <w:p w:rsidR="00BF6601" w:rsidRDefault="00E6396C">
            <w:pPr>
              <w:pStyle w:val="normal0"/>
              <w:jc w:val="center"/>
            </w:pPr>
            <w:r>
              <w:t xml:space="preserve">93  </w:t>
            </w:r>
          </w:p>
        </w:tc>
      </w:tr>
      <w:tr w:rsidR="00BF6601">
        <w:tc>
          <w:tcPr>
            <w:tcW w:w="2205" w:type="dxa"/>
            <w:tcBorders>
              <w:top w:val="single" w:sz="6" w:space="0" w:color="000000"/>
              <w:left w:val="single" w:sz="6" w:space="0" w:color="000000"/>
              <w:bottom w:val="single" w:sz="6" w:space="0" w:color="000000"/>
              <w:right w:val="single" w:sz="6" w:space="0" w:color="000000"/>
            </w:tcBorders>
            <w:shd w:val="clear" w:color="auto" w:fill="FFF5D7"/>
            <w:tcMar>
              <w:top w:w="15" w:type="dxa"/>
              <w:left w:w="300" w:type="dxa"/>
              <w:bottom w:w="15" w:type="dxa"/>
              <w:right w:w="15" w:type="dxa"/>
            </w:tcMar>
            <w:vAlign w:val="center"/>
          </w:tcPr>
          <w:p w:rsidR="00BF6601" w:rsidRDefault="00E6396C">
            <w:pPr>
              <w:pStyle w:val="normal0"/>
            </w:pPr>
            <w:r>
              <w:t>2014-2015</w:t>
            </w:r>
          </w:p>
        </w:tc>
        <w:tc>
          <w:tcPr>
            <w:tcW w:w="23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45" w:type="dxa"/>
            </w:tcMar>
            <w:vAlign w:val="center"/>
          </w:tcPr>
          <w:p w:rsidR="00BF6601" w:rsidRDefault="00E6396C">
            <w:pPr>
              <w:pStyle w:val="normal0"/>
              <w:jc w:val="center"/>
            </w:pPr>
            <w:r>
              <w:t>33</w:t>
            </w:r>
          </w:p>
        </w:tc>
        <w:tc>
          <w:tcPr>
            <w:tcW w:w="147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45" w:type="dxa"/>
            </w:tcMar>
            <w:vAlign w:val="center"/>
          </w:tcPr>
          <w:p w:rsidR="00BF6601" w:rsidRDefault="00BF6601">
            <w:pPr>
              <w:pStyle w:val="normal0"/>
              <w:jc w:val="center"/>
            </w:pPr>
          </w:p>
        </w:tc>
        <w:tc>
          <w:tcPr>
            <w:tcW w:w="29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45" w:type="dxa"/>
            </w:tcMar>
            <w:vAlign w:val="center"/>
          </w:tcPr>
          <w:p w:rsidR="00BF6601" w:rsidRDefault="00E6396C">
            <w:pPr>
              <w:pStyle w:val="normal0"/>
              <w:jc w:val="center"/>
            </w:pPr>
            <w:r>
              <w:t>84</w:t>
            </w:r>
          </w:p>
        </w:tc>
      </w:tr>
      <w:tr w:rsidR="00BF6601">
        <w:tc>
          <w:tcPr>
            <w:tcW w:w="2205" w:type="dxa"/>
            <w:tcBorders>
              <w:top w:val="single" w:sz="6" w:space="0" w:color="000000"/>
              <w:left w:val="single" w:sz="6" w:space="0" w:color="000000"/>
              <w:bottom w:val="single" w:sz="6" w:space="0" w:color="000000"/>
              <w:right w:val="single" w:sz="6" w:space="0" w:color="000000"/>
            </w:tcBorders>
            <w:shd w:val="clear" w:color="auto" w:fill="FFF5D7"/>
            <w:tcMar>
              <w:top w:w="15" w:type="dxa"/>
              <w:left w:w="300" w:type="dxa"/>
              <w:bottom w:w="15" w:type="dxa"/>
              <w:right w:w="15" w:type="dxa"/>
            </w:tcMar>
            <w:vAlign w:val="center"/>
          </w:tcPr>
          <w:p w:rsidR="00BF6601" w:rsidRDefault="00E6396C">
            <w:pPr>
              <w:pStyle w:val="normal0"/>
            </w:pPr>
            <w:r>
              <w:t>2013-2014</w:t>
            </w:r>
          </w:p>
        </w:tc>
        <w:tc>
          <w:tcPr>
            <w:tcW w:w="23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45" w:type="dxa"/>
            </w:tcMar>
            <w:vAlign w:val="center"/>
          </w:tcPr>
          <w:p w:rsidR="00BF6601" w:rsidRDefault="00E6396C">
            <w:pPr>
              <w:pStyle w:val="normal0"/>
              <w:jc w:val="center"/>
            </w:pPr>
            <w:r>
              <w:t>49</w:t>
            </w:r>
          </w:p>
        </w:tc>
        <w:tc>
          <w:tcPr>
            <w:tcW w:w="147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45" w:type="dxa"/>
            </w:tcMar>
            <w:vAlign w:val="center"/>
          </w:tcPr>
          <w:p w:rsidR="00BF6601" w:rsidRDefault="00BF6601">
            <w:pPr>
              <w:pStyle w:val="normal0"/>
              <w:jc w:val="center"/>
            </w:pPr>
          </w:p>
        </w:tc>
        <w:tc>
          <w:tcPr>
            <w:tcW w:w="29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45" w:type="dxa"/>
            </w:tcMar>
            <w:vAlign w:val="center"/>
          </w:tcPr>
          <w:p w:rsidR="00BF6601" w:rsidRDefault="00E6396C">
            <w:pPr>
              <w:pStyle w:val="normal0"/>
              <w:jc w:val="center"/>
            </w:pPr>
            <w:r>
              <w:t>75</w:t>
            </w:r>
          </w:p>
        </w:tc>
      </w:tr>
      <w:tr w:rsidR="00BF6601">
        <w:tc>
          <w:tcPr>
            <w:tcW w:w="2205" w:type="dxa"/>
            <w:tcBorders>
              <w:top w:val="single" w:sz="6" w:space="0" w:color="000000"/>
              <w:left w:val="single" w:sz="6" w:space="0" w:color="000000"/>
              <w:bottom w:val="single" w:sz="6" w:space="0" w:color="000000"/>
              <w:right w:val="single" w:sz="6" w:space="0" w:color="000000"/>
            </w:tcBorders>
            <w:shd w:val="clear" w:color="auto" w:fill="FFF5D7"/>
            <w:tcMar>
              <w:top w:w="15" w:type="dxa"/>
              <w:left w:w="300" w:type="dxa"/>
              <w:bottom w:w="15" w:type="dxa"/>
              <w:right w:w="15" w:type="dxa"/>
            </w:tcMar>
            <w:vAlign w:val="center"/>
          </w:tcPr>
          <w:p w:rsidR="00BF6601" w:rsidRDefault="00E6396C">
            <w:pPr>
              <w:pStyle w:val="normal0"/>
            </w:pPr>
            <w:r>
              <w:t>2012 - 2013</w:t>
            </w:r>
          </w:p>
        </w:tc>
        <w:tc>
          <w:tcPr>
            <w:tcW w:w="23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45" w:type="dxa"/>
            </w:tcMar>
            <w:vAlign w:val="center"/>
          </w:tcPr>
          <w:p w:rsidR="00BF6601" w:rsidRDefault="00E6396C">
            <w:pPr>
              <w:pStyle w:val="normal0"/>
              <w:jc w:val="center"/>
            </w:pPr>
            <w:r>
              <w:t>21</w:t>
            </w:r>
          </w:p>
        </w:tc>
        <w:tc>
          <w:tcPr>
            <w:tcW w:w="147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45" w:type="dxa"/>
            </w:tcMar>
            <w:vAlign w:val="center"/>
          </w:tcPr>
          <w:p w:rsidR="00BF6601" w:rsidRDefault="00BF6601">
            <w:pPr>
              <w:pStyle w:val="normal0"/>
              <w:jc w:val="center"/>
            </w:pPr>
          </w:p>
        </w:tc>
        <w:tc>
          <w:tcPr>
            <w:tcW w:w="29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45" w:type="dxa"/>
            </w:tcMar>
            <w:vAlign w:val="center"/>
          </w:tcPr>
          <w:p w:rsidR="00BF6601" w:rsidRDefault="00E6396C">
            <w:pPr>
              <w:pStyle w:val="normal0"/>
              <w:jc w:val="center"/>
            </w:pPr>
            <w:r>
              <w:t>71</w:t>
            </w:r>
          </w:p>
        </w:tc>
      </w:tr>
    </w:tbl>
    <w:p w:rsidR="00BF6601" w:rsidRDefault="00BF6601">
      <w:pPr>
        <w:pStyle w:val="normal0"/>
      </w:pPr>
    </w:p>
    <w:p w:rsidR="00BF6601" w:rsidRDefault="000D19BF">
      <w:pPr>
        <w:pStyle w:val="normal0"/>
      </w:pPr>
      <w:r>
        <w:pict>
          <v:rect id="_x0000_i1028" style="width:0;height:1.5pt" o:hralign="center" o:hrstd="t" o:hr="t" fillcolor="#a0a0a0" stroked="f"/>
        </w:pict>
      </w:r>
    </w:p>
    <w:p w:rsidR="00BF6601" w:rsidRDefault="00BF6601">
      <w:pPr>
        <w:pStyle w:val="normal0"/>
        <w:tabs>
          <w:tab w:val="right" w:pos="9340"/>
        </w:tabs>
      </w:pPr>
    </w:p>
    <w:p w:rsidR="00BF6601" w:rsidRDefault="00E6396C">
      <w:pPr>
        <w:pStyle w:val="normal0"/>
        <w:tabs>
          <w:tab w:val="right" w:pos="9340"/>
        </w:tabs>
      </w:pPr>
      <w:r>
        <w:rPr>
          <w:b/>
          <w:sz w:val="24"/>
          <w:szCs w:val="24"/>
          <w:shd w:val="clear" w:color="auto" w:fill="CFD0CF"/>
        </w:rPr>
        <w:t>Program Objective 2</w:t>
      </w:r>
      <w:r>
        <w:rPr>
          <w:b/>
          <w:sz w:val="24"/>
          <w:szCs w:val="24"/>
          <w:shd w:val="clear" w:color="auto" w:fill="CFD0CF"/>
        </w:rPr>
        <w:tab/>
      </w:r>
    </w:p>
    <w:p w:rsidR="00BF6601" w:rsidRDefault="00BF6601">
      <w:pPr>
        <w:pStyle w:val="normal0"/>
      </w:pPr>
    </w:p>
    <w:p w:rsidR="00BF6601" w:rsidRDefault="00E6396C">
      <w:pPr>
        <w:pStyle w:val="normal0"/>
      </w:pPr>
      <w:r>
        <w:rPr>
          <w:sz w:val="24"/>
          <w:szCs w:val="24"/>
        </w:rPr>
        <w:lastRenderedPageBreak/>
        <w:t>Increase the participation and completion rates of students, particularly Native Hawaiian, low-income, and those from underserved regions</w:t>
      </w:r>
    </w:p>
    <w:p w:rsidR="00BF6601" w:rsidRDefault="00BF6601">
      <w:pPr>
        <w:pStyle w:val="normal0"/>
      </w:pPr>
    </w:p>
    <w:p w:rsidR="00BF6601" w:rsidRDefault="00E6396C">
      <w:pPr>
        <w:pStyle w:val="normal0"/>
      </w:pPr>
      <w:r>
        <w:rPr>
          <w:b/>
          <w:sz w:val="24"/>
          <w:szCs w:val="24"/>
          <w:u w:val="single"/>
        </w:rPr>
        <w:t>Methods and Measures</w:t>
      </w:r>
    </w:p>
    <w:p w:rsidR="00BF6601" w:rsidRDefault="00BF6601">
      <w:pPr>
        <w:pStyle w:val="normal0"/>
      </w:pPr>
    </w:p>
    <w:p w:rsidR="00BF6601" w:rsidRDefault="00E6396C">
      <w:pPr>
        <w:pStyle w:val="normal0"/>
        <w:numPr>
          <w:ilvl w:val="0"/>
          <w:numId w:val="3"/>
        </w:numPr>
        <w:ind w:hanging="360"/>
        <w:rPr>
          <w:sz w:val="24"/>
          <w:szCs w:val="24"/>
        </w:rPr>
      </w:pPr>
      <w:r>
        <w:rPr>
          <w:sz w:val="24"/>
          <w:szCs w:val="24"/>
        </w:rPr>
        <w:t>15 to finish- Student understands the timeframe involved with graduating within a two year timespan for an associate’s degree</w:t>
      </w:r>
    </w:p>
    <w:p w:rsidR="00BF6601" w:rsidRDefault="00E6396C">
      <w:pPr>
        <w:pStyle w:val="normal0"/>
        <w:numPr>
          <w:ilvl w:val="0"/>
          <w:numId w:val="3"/>
        </w:numPr>
        <w:ind w:hanging="360"/>
        <w:rPr>
          <w:sz w:val="24"/>
          <w:szCs w:val="24"/>
        </w:rPr>
      </w:pPr>
      <w:r>
        <w:rPr>
          <w:sz w:val="24"/>
          <w:szCs w:val="24"/>
        </w:rPr>
        <w:t xml:space="preserve">Participate in STAR Auto Credential and Reverse transfer </w:t>
      </w:r>
    </w:p>
    <w:p w:rsidR="00BF6601" w:rsidRDefault="00E6396C">
      <w:pPr>
        <w:pStyle w:val="normal0"/>
        <w:numPr>
          <w:ilvl w:val="0"/>
          <w:numId w:val="3"/>
        </w:numPr>
        <w:ind w:hanging="360"/>
        <w:rPr>
          <w:sz w:val="24"/>
          <w:szCs w:val="24"/>
        </w:rPr>
      </w:pPr>
      <w:r>
        <w:rPr>
          <w:sz w:val="24"/>
          <w:szCs w:val="24"/>
        </w:rPr>
        <w:t>Participate in Learning Support Teams (</w:t>
      </w:r>
      <w:proofErr w:type="spellStart"/>
      <w:r>
        <w:rPr>
          <w:sz w:val="24"/>
          <w:szCs w:val="24"/>
        </w:rPr>
        <w:t>Hanai</w:t>
      </w:r>
      <w:proofErr w:type="spellEnd"/>
      <w:r>
        <w:rPr>
          <w:sz w:val="24"/>
          <w:szCs w:val="24"/>
        </w:rPr>
        <w:t xml:space="preserve"> Class) initiative for Learning Support courses (developmental courses)</w:t>
      </w:r>
    </w:p>
    <w:p w:rsidR="00BF6601" w:rsidRDefault="00BF6601">
      <w:pPr>
        <w:pStyle w:val="normal0"/>
      </w:pPr>
    </w:p>
    <w:p w:rsidR="00BF6601" w:rsidRDefault="00E6396C">
      <w:pPr>
        <w:pStyle w:val="normal0"/>
      </w:pPr>
      <w:r>
        <w:rPr>
          <w:b/>
          <w:sz w:val="24"/>
          <w:szCs w:val="24"/>
          <w:u w:val="single"/>
        </w:rPr>
        <w:t>Findings</w:t>
      </w:r>
    </w:p>
    <w:p w:rsidR="00BF6601" w:rsidRDefault="00BF6601">
      <w:pPr>
        <w:pStyle w:val="normal0"/>
      </w:pPr>
    </w:p>
    <w:p w:rsidR="00BF6601" w:rsidRDefault="00E6396C">
      <w:pPr>
        <w:pStyle w:val="normal0"/>
      </w:pPr>
      <w:r>
        <w:rPr>
          <w:sz w:val="24"/>
          <w:szCs w:val="24"/>
        </w:rPr>
        <w:t xml:space="preserve">Regardless of academic preparation students who take 15 or more credits have a higher credit completion rate of courses.  </w:t>
      </w:r>
    </w:p>
    <w:tbl>
      <w:tblPr>
        <w:tblStyle w:val="a2"/>
        <w:tblW w:w="88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75"/>
        <w:gridCol w:w="5190"/>
      </w:tblGrid>
      <w:tr w:rsidR="00BF6601">
        <w:tc>
          <w:tcPr>
            <w:tcW w:w="3675" w:type="dxa"/>
          </w:tcPr>
          <w:p w:rsidR="00BF6601" w:rsidRDefault="00E6396C">
            <w:pPr>
              <w:pStyle w:val="normal0"/>
            </w:pPr>
            <w:r>
              <w:rPr>
                <w:b/>
                <w:sz w:val="24"/>
                <w:szCs w:val="24"/>
              </w:rPr>
              <w:t>Semester</w:t>
            </w:r>
          </w:p>
        </w:tc>
        <w:tc>
          <w:tcPr>
            <w:tcW w:w="5190" w:type="dxa"/>
          </w:tcPr>
          <w:p w:rsidR="00BF6601" w:rsidRDefault="00E6396C">
            <w:pPr>
              <w:pStyle w:val="normal0"/>
              <w:jc w:val="center"/>
            </w:pPr>
            <w:r>
              <w:rPr>
                <w:b/>
                <w:sz w:val="24"/>
                <w:szCs w:val="24"/>
              </w:rPr>
              <w:t xml:space="preserve">% </w:t>
            </w:r>
            <w:proofErr w:type="gramStart"/>
            <w:r>
              <w:rPr>
                <w:b/>
                <w:sz w:val="24"/>
                <w:szCs w:val="24"/>
              </w:rPr>
              <w:t>of</w:t>
            </w:r>
            <w:proofErr w:type="gramEnd"/>
            <w:r>
              <w:rPr>
                <w:b/>
                <w:sz w:val="24"/>
                <w:szCs w:val="24"/>
              </w:rPr>
              <w:t xml:space="preserve"> student body taking 15+ credits</w:t>
            </w:r>
          </w:p>
        </w:tc>
      </w:tr>
      <w:tr w:rsidR="00BF6601">
        <w:tc>
          <w:tcPr>
            <w:tcW w:w="3675" w:type="dxa"/>
            <w:shd w:val="clear" w:color="auto" w:fill="FFD062"/>
          </w:tcPr>
          <w:p w:rsidR="00BF6601" w:rsidRDefault="00BF6601">
            <w:pPr>
              <w:pStyle w:val="normal0"/>
            </w:pPr>
          </w:p>
        </w:tc>
        <w:tc>
          <w:tcPr>
            <w:tcW w:w="5190" w:type="dxa"/>
            <w:shd w:val="clear" w:color="auto" w:fill="FFD062"/>
          </w:tcPr>
          <w:p w:rsidR="00BF6601" w:rsidRDefault="00BF6601">
            <w:pPr>
              <w:pStyle w:val="normal0"/>
              <w:jc w:val="center"/>
            </w:pPr>
          </w:p>
        </w:tc>
      </w:tr>
      <w:tr w:rsidR="00BF6601">
        <w:tc>
          <w:tcPr>
            <w:tcW w:w="3675" w:type="dxa"/>
            <w:shd w:val="clear" w:color="auto" w:fill="FFF5D7"/>
          </w:tcPr>
          <w:p w:rsidR="00BF6601" w:rsidRDefault="00E6396C">
            <w:pPr>
              <w:pStyle w:val="normal0"/>
            </w:pPr>
            <w:r>
              <w:rPr>
                <w:sz w:val="24"/>
                <w:szCs w:val="24"/>
              </w:rPr>
              <w:t>Fall 2016</w:t>
            </w:r>
          </w:p>
        </w:tc>
        <w:tc>
          <w:tcPr>
            <w:tcW w:w="5190" w:type="dxa"/>
          </w:tcPr>
          <w:p w:rsidR="00BF6601" w:rsidRDefault="00E6396C">
            <w:pPr>
              <w:pStyle w:val="normal0"/>
              <w:jc w:val="center"/>
            </w:pPr>
            <w:r>
              <w:rPr>
                <w:sz w:val="24"/>
                <w:szCs w:val="24"/>
              </w:rPr>
              <w:t>11%</w:t>
            </w:r>
          </w:p>
        </w:tc>
      </w:tr>
      <w:tr w:rsidR="00BF6601">
        <w:tc>
          <w:tcPr>
            <w:tcW w:w="3675" w:type="dxa"/>
            <w:shd w:val="clear" w:color="auto" w:fill="FFF5D7"/>
          </w:tcPr>
          <w:p w:rsidR="00BF6601" w:rsidRDefault="00E6396C">
            <w:pPr>
              <w:pStyle w:val="normal0"/>
            </w:pPr>
            <w:r>
              <w:rPr>
                <w:sz w:val="24"/>
                <w:szCs w:val="24"/>
              </w:rPr>
              <w:t>Fall 2015</w:t>
            </w:r>
          </w:p>
        </w:tc>
        <w:tc>
          <w:tcPr>
            <w:tcW w:w="5190" w:type="dxa"/>
          </w:tcPr>
          <w:p w:rsidR="00BF6601" w:rsidRDefault="00E6396C">
            <w:pPr>
              <w:pStyle w:val="normal0"/>
              <w:jc w:val="center"/>
            </w:pPr>
            <w:r>
              <w:rPr>
                <w:sz w:val="24"/>
                <w:szCs w:val="24"/>
              </w:rPr>
              <w:t>20%</w:t>
            </w:r>
          </w:p>
        </w:tc>
      </w:tr>
      <w:tr w:rsidR="00BF6601">
        <w:tc>
          <w:tcPr>
            <w:tcW w:w="3675" w:type="dxa"/>
            <w:shd w:val="clear" w:color="auto" w:fill="FFF5D7"/>
          </w:tcPr>
          <w:p w:rsidR="00BF6601" w:rsidRDefault="00E6396C">
            <w:pPr>
              <w:pStyle w:val="normal0"/>
            </w:pPr>
            <w:r>
              <w:rPr>
                <w:sz w:val="24"/>
                <w:szCs w:val="24"/>
              </w:rPr>
              <w:t>Fall 2014</w:t>
            </w:r>
          </w:p>
        </w:tc>
        <w:tc>
          <w:tcPr>
            <w:tcW w:w="5190" w:type="dxa"/>
          </w:tcPr>
          <w:p w:rsidR="00BF6601" w:rsidRDefault="00E6396C">
            <w:pPr>
              <w:pStyle w:val="normal0"/>
              <w:jc w:val="center"/>
            </w:pPr>
            <w:r>
              <w:rPr>
                <w:sz w:val="24"/>
                <w:szCs w:val="24"/>
              </w:rPr>
              <w:t>8.6%</w:t>
            </w:r>
          </w:p>
        </w:tc>
      </w:tr>
    </w:tbl>
    <w:p w:rsidR="00BF6601" w:rsidRDefault="00E6396C">
      <w:pPr>
        <w:pStyle w:val="normal0"/>
      </w:pPr>
      <w:r>
        <w:rPr>
          <w:sz w:val="24"/>
          <w:szCs w:val="24"/>
        </w:rPr>
        <w:t>Source: Hawaii Graduation Initiative</w:t>
      </w:r>
    </w:p>
    <w:p w:rsidR="00BF6601" w:rsidRDefault="00BF6601">
      <w:pPr>
        <w:pStyle w:val="normal0"/>
      </w:pPr>
    </w:p>
    <w:p w:rsidR="00BF6601" w:rsidRDefault="00BF6601">
      <w:pPr>
        <w:pStyle w:val="normal0"/>
      </w:pPr>
    </w:p>
    <w:p w:rsidR="00BF6601" w:rsidRDefault="00BF6601">
      <w:pPr>
        <w:pStyle w:val="normal0"/>
      </w:pPr>
    </w:p>
    <w:p w:rsidR="00BF6601" w:rsidRDefault="00BF6601">
      <w:pPr>
        <w:pStyle w:val="normal0"/>
      </w:pPr>
    </w:p>
    <w:p w:rsidR="00BF6601" w:rsidRDefault="00BF6601">
      <w:pPr>
        <w:pStyle w:val="normal0"/>
      </w:pPr>
    </w:p>
    <w:p w:rsidR="00BF6601" w:rsidRDefault="00BF6601">
      <w:pPr>
        <w:pStyle w:val="normal0"/>
      </w:pPr>
    </w:p>
    <w:p w:rsidR="00BF6601" w:rsidRDefault="00BF6601">
      <w:pPr>
        <w:pStyle w:val="normal0"/>
      </w:pPr>
    </w:p>
    <w:p w:rsidR="00BF6601" w:rsidRDefault="00E6396C">
      <w:pPr>
        <w:pStyle w:val="normal0"/>
      </w:pPr>
      <w:r>
        <w:rPr>
          <w:b/>
          <w:i/>
          <w:sz w:val="24"/>
          <w:szCs w:val="24"/>
        </w:rPr>
        <w:t xml:space="preserve">Reverse Transfer- </w:t>
      </w:r>
      <w:r>
        <w:rPr>
          <w:sz w:val="24"/>
          <w:szCs w:val="24"/>
        </w:rPr>
        <w:t xml:space="preserve">Students who have transferred to a UH four-year school without earning </w:t>
      </w:r>
      <w:proofErr w:type="gramStart"/>
      <w:r>
        <w:rPr>
          <w:sz w:val="24"/>
          <w:szCs w:val="24"/>
        </w:rPr>
        <w:t>a</w:t>
      </w:r>
      <w:proofErr w:type="gramEnd"/>
      <w:r>
        <w:rPr>
          <w:sz w:val="24"/>
          <w:szCs w:val="24"/>
        </w:rPr>
        <w:t xml:space="preserve"> AA/AS can apply the credits that they have taken at the four-year school towards an AA.  These numbers reflect the amount of AA/AS degree awarded at Maui College.</w:t>
      </w:r>
    </w:p>
    <w:p w:rsidR="00BF6601" w:rsidRDefault="00BF6601">
      <w:pPr>
        <w:pStyle w:val="normal0"/>
        <w:widowControl w:val="0"/>
        <w:spacing w:line="276" w:lineRule="auto"/>
      </w:pPr>
    </w:p>
    <w:tbl>
      <w:tblPr>
        <w:tblStyle w:val="a3"/>
        <w:tblW w:w="8955" w:type="dxa"/>
        <w:tblBorders>
          <w:top w:val="single" w:sz="6" w:space="0" w:color="CCCCCC"/>
          <w:left w:val="single" w:sz="6" w:space="0" w:color="CCCCCC"/>
          <w:bottom w:val="single" w:sz="6" w:space="0" w:color="CCCCCC"/>
          <w:right w:val="single" w:sz="6" w:space="0" w:color="CCCCCC"/>
          <w:insideH w:val="nil"/>
          <w:insideV w:val="nil"/>
        </w:tblBorders>
        <w:tblLayout w:type="fixed"/>
        <w:tblLook w:val="0000" w:firstRow="0" w:lastRow="0" w:firstColumn="0" w:lastColumn="0" w:noHBand="0" w:noVBand="0"/>
      </w:tblPr>
      <w:tblGrid>
        <w:gridCol w:w="2205"/>
        <w:gridCol w:w="2340"/>
        <w:gridCol w:w="1470"/>
        <w:gridCol w:w="2940"/>
      </w:tblGrid>
      <w:tr w:rsidR="00BF6601">
        <w:trPr>
          <w:trHeight w:val="460"/>
        </w:trPr>
        <w:tc>
          <w:tcPr>
            <w:tcW w:w="22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F6601" w:rsidRDefault="00BF6601">
            <w:pPr>
              <w:pStyle w:val="normal0"/>
            </w:pPr>
          </w:p>
        </w:tc>
        <w:tc>
          <w:tcPr>
            <w:tcW w:w="23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F6601" w:rsidRDefault="00E6396C">
            <w:pPr>
              <w:pStyle w:val="normal0"/>
              <w:jc w:val="center"/>
            </w:pPr>
            <w:r>
              <w:rPr>
                <w:b/>
              </w:rPr>
              <w:t>FALL</w:t>
            </w:r>
          </w:p>
        </w:tc>
        <w:tc>
          <w:tcPr>
            <w:tcW w:w="147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F6601" w:rsidRDefault="00BF6601">
            <w:pPr>
              <w:pStyle w:val="normal0"/>
              <w:jc w:val="center"/>
            </w:pPr>
          </w:p>
        </w:tc>
        <w:tc>
          <w:tcPr>
            <w:tcW w:w="29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F6601" w:rsidRDefault="00E6396C">
            <w:pPr>
              <w:pStyle w:val="normal0"/>
              <w:jc w:val="center"/>
            </w:pPr>
            <w:r>
              <w:rPr>
                <w:b/>
              </w:rPr>
              <w:t>SPRING</w:t>
            </w:r>
          </w:p>
        </w:tc>
      </w:tr>
      <w:tr w:rsidR="00BF6601">
        <w:tc>
          <w:tcPr>
            <w:tcW w:w="2205" w:type="dxa"/>
            <w:tcBorders>
              <w:top w:val="single" w:sz="6" w:space="0" w:color="000000"/>
              <w:left w:val="single" w:sz="6" w:space="0" w:color="000000"/>
              <w:bottom w:val="single" w:sz="6" w:space="0" w:color="000000"/>
              <w:right w:val="single" w:sz="6" w:space="0" w:color="000000"/>
            </w:tcBorders>
            <w:shd w:val="clear" w:color="auto" w:fill="FFD062"/>
            <w:tcMar>
              <w:top w:w="15" w:type="dxa"/>
              <w:left w:w="75" w:type="dxa"/>
              <w:bottom w:w="15" w:type="dxa"/>
              <w:right w:w="15" w:type="dxa"/>
            </w:tcMar>
            <w:vAlign w:val="center"/>
          </w:tcPr>
          <w:p w:rsidR="00BF6601" w:rsidRDefault="00BF6601">
            <w:pPr>
              <w:pStyle w:val="normal0"/>
            </w:pPr>
          </w:p>
        </w:tc>
        <w:tc>
          <w:tcPr>
            <w:tcW w:w="2340" w:type="dxa"/>
            <w:tcBorders>
              <w:top w:val="single" w:sz="6" w:space="0" w:color="000000"/>
              <w:left w:val="single" w:sz="6" w:space="0" w:color="000000"/>
              <w:bottom w:val="single" w:sz="6" w:space="0" w:color="000000"/>
              <w:right w:val="single" w:sz="6" w:space="0" w:color="000000"/>
            </w:tcBorders>
            <w:shd w:val="clear" w:color="auto" w:fill="FFD062"/>
            <w:tcMar>
              <w:top w:w="15" w:type="dxa"/>
              <w:left w:w="15" w:type="dxa"/>
              <w:bottom w:w="15" w:type="dxa"/>
              <w:right w:w="45" w:type="dxa"/>
            </w:tcMar>
            <w:vAlign w:val="center"/>
          </w:tcPr>
          <w:p w:rsidR="00BF6601" w:rsidRDefault="00BF6601">
            <w:pPr>
              <w:pStyle w:val="normal0"/>
            </w:pPr>
          </w:p>
        </w:tc>
        <w:tc>
          <w:tcPr>
            <w:tcW w:w="1470" w:type="dxa"/>
            <w:tcBorders>
              <w:top w:val="single" w:sz="6" w:space="0" w:color="000000"/>
              <w:left w:val="single" w:sz="6" w:space="0" w:color="000000"/>
              <w:bottom w:val="single" w:sz="6" w:space="0" w:color="000000"/>
              <w:right w:val="single" w:sz="6" w:space="0" w:color="000000"/>
            </w:tcBorders>
            <w:shd w:val="clear" w:color="auto" w:fill="FFD062"/>
            <w:tcMar>
              <w:top w:w="15" w:type="dxa"/>
              <w:left w:w="15" w:type="dxa"/>
              <w:bottom w:w="15" w:type="dxa"/>
              <w:right w:w="45" w:type="dxa"/>
            </w:tcMar>
            <w:vAlign w:val="center"/>
          </w:tcPr>
          <w:p w:rsidR="00BF6601" w:rsidRDefault="00BF6601">
            <w:pPr>
              <w:pStyle w:val="normal0"/>
            </w:pPr>
          </w:p>
        </w:tc>
        <w:tc>
          <w:tcPr>
            <w:tcW w:w="2940" w:type="dxa"/>
            <w:tcBorders>
              <w:top w:val="single" w:sz="6" w:space="0" w:color="000000"/>
              <w:left w:val="single" w:sz="6" w:space="0" w:color="000000"/>
              <w:bottom w:val="single" w:sz="6" w:space="0" w:color="000000"/>
              <w:right w:val="single" w:sz="6" w:space="0" w:color="000000"/>
            </w:tcBorders>
            <w:shd w:val="clear" w:color="auto" w:fill="FFD062"/>
            <w:tcMar>
              <w:top w:w="15" w:type="dxa"/>
              <w:left w:w="15" w:type="dxa"/>
              <w:bottom w:w="15" w:type="dxa"/>
              <w:right w:w="45" w:type="dxa"/>
            </w:tcMar>
            <w:vAlign w:val="center"/>
          </w:tcPr>
          <w:p w:rsidR="00BF6601" w:rsidRDefault="00BF6601">
            <w:pPr>
              <w:pStyle w:val="normal0"/>
            </w:pPr>
          </w:p>
        </w:tc>
      </w:tr>
      <w:tr w:rsidR="00BF6601">
        <w:tc>
          <w:tcPr>
            <w:tcW w:w="2205" w:type="dxa"/>
            <w:tcBorders>
              <w:top w:val="single" w:sz="6" w:space="0" w:color="000000"/>
              <w:left w:val="single" w:sz="6" w:space="0" w:color="000000"/>
              <w:bottom w:val="single" w:sz="6" w:space="0" w:color="000000"/>
              <w:right w:val="single" w:sz="6" w:space="0" w:color="000000"/>
            </w:tcBorders>
            <w:shd w:val="clear" w:color="auto" w:fill="FFF5D7"/>
            <w:tcMar>
              <w:top w:w="15" w:type="dxa"/>
              <w:left w:w="300" w:type="dxa"/>
              <w:bottom w:w="15" w:type="dxa"/>
              <w:right w:w="15" w:type="dxa"/>
            </w:tcMar>
            <w:vAlign w:val="center"/>
          </w:tcPr>
          <w:p w:rsidR="00BF6601" w:rsidRDefault="00E6396C">
            <w:pPr>
              <w:pStyle w:val="normal0"/>
            </w:pPr>
            <w:r>
              <w:t>2015-2016</w:t>
            </w:r>
          </w:p>
        </w:tc>
        <w:tc>
          <w:tcPr>
            <w:tcW w:w="23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45" w:type="dxa"/>
            </w:tcMar>
            <w:vAlign w:val="center"/>
          </w:tcPr>
          <w:p w:rsidR="00BF6601" w:rsidRDefault="00E6396C">
            <w:pPr>
              <w:pStyle w:val="normal0"/>
              <w:jc w:val="center"/>
            </w:pPr>
            <w:r>
              <w:t>22</w:t>
            </w:r>
          </w:p>
        </w:tc>
        <w:tc>
          <w:tcPr>
            <w:tcW w:w="147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45" w:type="dxa"/>
            </w:tcMar>
            <w:vAlign w:val="center"/>
          </w:tcPr>
          <w:p w:rsidR="00BF6601" w:rsidRDefault="00BF6601">
            <w:pPr>
              <w:pStyle w:val="normal0"/>
              <w:jc w:val="center"/>
            </w:pPr>
          </w:p>
        </w:tc>
        <w:tc>
          <w:tcPr>
            <w:tcW w:w="29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45" w:type="dxa"/>
            </w:tcMar>
            <w:vAlign w:val="center"/>
          </w:tcPr>
          <w:p w:rsidR="00BF6601" w:rsidRDefault="00E6396C">
            <w:pPr>
              <w:pStyle w:val="normal0"/>
              <w:jc w:val="center"/>
            </w:pPr>
            <w:r>
              <w:t xml:space="preserve">TBA  </w:t>
            </w:r>
          </w:p>
        </w:tc>
      </w:tr>
      <w:tr w:rsidR="00BF6601">
        <w:tc>
          <w:tcPr>
            <w:tcW w:w="2205" w:type="dxa"/>
            <w:tcBorders>
              <w:top w:val="single" w:sz="6" w:space="0" w:color="000000"/>
              <w:left w:val="single" w:sz="6" w:space="0" w:color="000000"/>
              <w:bottom w:val="single" w:sz="6" w:space="0" w:color="000000"/>
              <w:right w:val="single" w:sz="6" w:space="0" w:color="000000"/>
            </w:tcBorders>
            <w:shd w:val="clear" w:color="auto" w:fill="FFF5D7"/>
            <w:tcMar>
              <w:top w:w="15" w:type="dxa"/>
              <w:left w:w="300" w:type="dxa"/>
              <w:bottom w:w="15" w:type="dxa"/>
              <w:right w:w="15" w:type="dxa"/>
            </w:tcMar>
            <w:vAlign w:val="center"/>
          </w:tcPr>
          <w:p w:rsidR="00BF6601" w:rsidRDefault="00E6396C">
            <w:pPr>
              <w:pStyle w:val="normal0"/>
            </w:pPr>
            <w:r>
              <w:t>2014-2015</w:t>
            </w:r>
          </w:p>
        </w:tc>
        <w:tc>
          <w:tcPr>
            <w:tcW w:w="23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45" w:type="dxa"/>
            </w:tcMar>
            <w:vAlign w:val="center"/>
          </w:tcPr>
          <w:p w:rsidR="00BF6601" w:rsidRDefault="00E6396C">
            <w:pPr>
              <w:pStyle w:val="normal0"/>
              <w:jc w:val="center"/>
            </w:pPr>
            <w:r>
              <w:t>21</w:t>
            </w:r>
          </w:p>
        </w:tc>
        <w:tc>
          <w:tcPr>
            <w:tcW w:w="147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45" w:type="dxa"/>
            </w:tcMar>
            <w:vAlign w:val="center"/>
          </w:tcPr>
          <w:p w:rsidR="00BF6601" w:rsidRDefault="00BF6601">
            <w:pPr>
              <w:pStyle w:val="normal0"/>
              <w:jc w:val="center"/>
            </w:pPr>
          </w:p>
        </w:tc>
        <w:tc>
          <w:tcPr>
            <w:tcW w:w="29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45" w:type="dxa"/>
            </w:tcMar>
            <w:vAlign w:val="center"/>
          </w:tcPr>
          <w:p w:rsidR="00BF6601" w:rsidRDefault="00E6396C">
            <w:pPr>
              <w:pStyle w:val="normal0"/>
              <w:jc w:val="center"/>
            </w:pPr>
            <w:r>
              <w:t>29</w:t>
            </w:r>
          </w:p>
        </w:tc>
      </w:tr>
      <w:tr w:rsidR="00BF6601">
        <w:tc>
          <w:tcPr>
            <w:tcW w:w="2205" w:type="dxa"/>
            <w:tcBorders>
              <w:top w:val="single" w:sz="6" w:space="0" w:color="000000"/>
              <w:left w:val="single" w:sz="6" w:space="0" w:color="000000"/>
              <w:bottom w:val="single" w:sz="6" w:space="0" w:color="000000"/>
              <w:right w:val="single" w:sz="6" w:space="0" w:color="000000"/>
            </w:tcBorders>
            <w:shd w:val="clear" w:color="auto" w:fill="FFF5D7"/>
            <w:tcMar>
              <w:top w:w="15" w:type="dxa"/>
              <w:left w:w="300" w:type="dxa"/>
              <w:bottom w:w="15" w:type="dxa"/>
              <w:right w:w="15" w:type="dxa"/>
            </w:tcMar>
            <w:vAlign w:val="center"/>
          </w:tcPr>
          <w:p w:rsidR="00BF6601" w:rsidRDefault="00E6396C">
            <w:pPr>
              <w:pStyle w:val="normal0"/>
            </w:pPr>
            <w:r>
              <w:t>2013-2014</w:t>
            </w:r>
          </w:p>
        </w:tc>
        <w:tc>
          <w:tcPr>
            <w:tcW w:w="23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45" w:type="dxa"/>
            </w:tcMar>
            <w:vAlign w:val="center"/>
          </w:tcPr>
          <w:p w:rsidR="00BF6601" w:rsidRDefault="00E6396C">
            <w:pPr>
              <w:pStyle w:val="normal0"/>
              <w:jc w:val="center"/>
            </w:pPr>
            <w:r>
              <w:t>34</w:t>
            </w:r>
          </w:p>
        </w:tc>
        <w:tc>
          <w:tcPr>
            <w:tcW w:w="147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45" w:type="dxa"/>
            </w:tcMar>
            <w:vAlign w:val="center"/>
          </w:tcPr>
          <w:p w:rsidR="00BF6601" w:rsidRDefault="00BF6601">
            <w:pPr>
              <w:pStyle w:val="normal0"/>
              <w:jc w:val="center"/>
            </w:pPr>
          </w:p>
        </w:tc>
        <w:tc>
          <w:tcPr>
            <w:tcW w:w="29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45" w:type="dxa"/>
            </w:tcMar>
            <w:vAlign w:val="center"/>
          </w:tcPr>
          <w:p w:rsidR="00BF6601" w:rsidRDefault="00E6396C">
            <w:pPr>
              <w:pStyle w:val="normal0"/>
              <w:jc w:val="center"/>
            </w:pPr>
            <w:r>
              <w:t>1</w:t>
            </w:r>
          </w:p>
        </w:tc>
      </w:tr>
    </w:tbl>
    <w:p w:rsidR="00BF6601" w:rsidRDefault="00BF6601">
      <w:pPr>
        <w:pStyle w:val="normal0"/>
      </w:pPr>
    </w:p>
    <w:p w:rsidR="00BF6601" w:rsidRDefault="000D19BF">
      <w:pPr>
        <w:pStyle w:val="normal0"/>
      </w:pPr>
      <w:r>
        <w:pict>
          <v:rect id="_x0000_i1029" style="width:0;height:1.5pt" o:hralign="center" o:hrstd="t" o:hr="t" fillcolor="#a0a0a0" stroked="f"/>
        </w:pict>
      </w:r>
    </w:p>
    <w:p w:rsidR="00BF6601" w:rsidRDefault="00BF6601">
      <w:pPr>
        <w:pStyle w:val="normal0"/>
        <w:tabs>
          <w:tab w:val="right" w:pos="9340"/>
        </w:tabs>
      </w:pPr>
    </w:p>
    <w:p w:rsidR="00BF6601" w:rsidRDefault="00E6396C">
      <w:pPr>
        <w:pStyle w:val="normal0"/>
        <w:tabs>
          <w:tab w:val="right" w:pos="9340"/>
        </w:tabs>
      </w:pPr>
      <w:r>
        <w:rPr>
          <w:b/>
          <w:sz w:val="24"/>
          <w:szCs w:val="24"/>
          <w:shd w:val="clear" w:color="auto" w:fill="CFD0CF"/>
        </w:rPr>
        <w:t>Program Objective 3</w:t>
      </w:r>
      <w:r>
        <w:rPr>
          <w:b/>
          <w:sz w:val="24"/>
          <w:szCs w:val="24"/>
          <w:shd w:val="clear" w:color="auto" w:fill="CFD0CF"/>
        </w:rPr>
        <w:tab/>
      </w:r>
    </w:p>
    <w:p w:rsidR="00BF6601" w:rsidRDefault="00BF6601">
      <w:pPr>
        <w:pStyle w:val="normal0"/>
      </w:pPr>
    </w:p>
    <w:p w:rsidR="00BF6601" w:rsidRDefault="00E6396C">
      <w:pPr>
        <w:pStyle w:val="normal0"/>
      </w:pPr>
      <w:r>
        <w:rPr>
          <w:sz w:val="24"/>
          <w:szCs w:val="24"/>
        </w:rPr>
        <w:t xml:space="preserve">Institutionalizing Assistive Technology </w:t>
      </w:r>
    </w:p>
    <w:p w:rsidR="00BF6601" w:rsidRDefault="00BF6601">
      <w:pPr>
        <w:pStyle w:val="normal0"/>
      </w:pPr>
    </w:p>
    <w:p w:rsidR="00BF6601" w:rsidRDefault="00E6396C">
      <w:pPr>
        <w:pStyle w:val="normal0"/>
      </w:pPr>
      <w:r>
        <w:rPr>
          <w:sz w:val="24"/>
          <w:szCs w:val="24"/>
        </w:rPr>
        <w:t>The Disability Services (DS) Counselor/Coordinator has specialized training in working with people with disabilities and is responsible for evaluating the academic limitations of individuals with disabilities and determining their needs to promote academic access.  The DS Counselor/Coordinator provides reasonable academic accommodations and modifications, and monitor implementation of services as required by various civil rights law. The DS Coordinator/Counselor also provides academic advising and career counseling.  In addition to being the sole provider for disability accommodations, additional responsibilities such as maintaining an advising caseload, management of the Assistive Technology Lab, provide content in alternative text, supervise on campus service providers, and liaise with faculty and staff and community service providers.</w:t>
      </w:r>
    </w:p>
    <w:p w:rsidR="00BF6601" w:rsidRDefault="00E6396C">
      <w:pPr>
        <w:pStyle w:val="normal0"/>
      </w:pPr>
      <w:r>
        <w:rPr>
          <w:sz w:val="24"/>
          <w:szCs w:val="24"/>
        </w:rPr>
        <w:t xml:space="preserve"> </w:t>
      </w:r>
    </w:p>
    <w:p w:rsidR="00BF6601" w:rsidRDefault="00E6396C">
      <w:pPr>
        <w:pStyle w:val="normal0"/>
      </w:pPr>
      <w:r>
        <w:rPr>
          <w:sz w:val="24"/>
          <w:szCs w:val="24"/>
        </w:rPr>
        <w:t>While students served by the DS Counselor/Coordinator has increased by 74% since FY09, students serviced in 2014-2015 decreased by 50% due to a vacancy in the position and the duties were disseminated between two Academic Counselors with full caseloads.</w:t>
      </w:r>
    </w:p>
    <w:p w:rsidR="00BF6601" w:rsidRDefault="00BF6601">
      <w:pPr>
        <w:pStyle w:val="normal0"/>
      </w:pPr>
    </w:p>
    <w:p w:rsidR="00BF6601" w:rsidRDefault="00BF6601">
      <w:pPr>
        <w:pStyle w:val="normal0"/>
      </w:pPr>
    </w:p>
    <w:p w:rsidR="00BF6601" w:rsidRDefault="00E6396C">
      <w:pPr>
        <w:pStyle w:val="normal0"/>
      </w:pPr>
      <w:r>
        <w:rPr>
          <w:b/>
          <w:sz w:val="24"/>
          <w:szCs w:val="24"/>
        </w:rPr>
        <w:t>UHMC DISABILITY SERVICES DATABASE (UNDUPLICATED COUNT OF STUDENTS)</w:t>
      </w:r>
    </w:p>
    <w:tbl>
      <w:tblPr>
        <w:tblStyle w:val="a4"/>
        <w:tblW w:w="9164" w:type="dxa"/>
        <w:tblInd w:w="-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478"/>
        <w:gridCol w:w="770"/>
        <w:gridCol w:w="462"/>
        <w:gridCol w:w="717"/>
        <w:gridCol w:w="486"/>
        <w:gridCol w:w="762"/>
        <w:gridCol w:w="411"/>
        <w:gridCol w:w="702"/>
        <w:gridCol w:w="519"/>
        <w:gridCol w:w="592"/>
        <w:gridCol w:w="484"/>
        <w:gridCol w:w="685"/>
        <w:gridCol w:w="480"/>
        <w:gridCol w:w="616"/>
      </w:tblGrid>
      <w:tr w:rsidR="00BF6601">
        <w:tc>
          <w:tcPr>
            <w:tcW w:w="1478" w:type="dxa"/>
            <w:shd w:val="clear" w:color="auto" w:fill="FFFFFF"/>
            <w:vAlign w:val="center"/>
          </w:tcPr>
          <w:p w:rsidR="00BF6601" w:rsidRDefault="00BF6601">
            <w:pPr>
              <w:pStyle w:val="normal0"/>
            </w:pPr>
          </w:p>
        </w:tc>
        <w:tc>
          <w:tcPr>
            <w:tcW w:w="770" w:type="dxa"/>
            <w:shd w:val="clear" w:color="auto" w:fill="FFFFFF"/>
          </w:tcPr>
          <w:p w:rsidR="00BF6601" w:rsidRDefault="00E6396C">
            <w:pPr>
              <w:pStyle w:val="normal0"/>
            </w:pPr>
            <w:r>
              <w:rPr>
                <w:b/>
              </w:rPr>
              <w:t>2015-2016</w:t>
            </w:r>
          </w:p>
        </w:tc>
        <w:tc>
          <w:tcPr>
            <w:tcW w:w="462" w:type="dxa"/>
            <w:shd w:val="clear" w:color="auto" w:fill="FFD347"/>
            <w:vAlign w:val="center"/>
          </w:tcPr>
          <w:p w:rsidR="00BF6601" w:rsidRDefault="00E6396C">
            <w:pPr>
              <w:pStyle w:val="normal0"/>
            </w:pPr>
            <w:r>
              <w:t>%C</w:t>
            </w:r>
          </w:p>
        </w:tc>
        <w:tc>
          <w:tcPr>
            <w:tcW w:w="717" w:type="dxa"/>
            <w:shd w:val="clear" w:color="auto" w:fill="FFFFFF"/>
          </w:tcPr>
          <w:p w:rsidR="00BF6601" w:rsidRDefault="00E6396C">
            <w:pPr>
              <w:pStyle w:val="normal0"/>
            </w:pPr>
            <w:r>
              <w:rPr>
                <w:b/>
              </w:rPr>
              <w:t>2014-</w:t>
            </w:r>
          </w:p>
          <w:p w:rsidR="00BF6601" w:rsidRDefault="00E6396C">
            <w:pPr>
              <w:pStyle w:val="normal0"/>
            </w:pPr>
            <w:r>
              <w:rPr>
                <w:b/>
              </w:rPr>
              <w:t>2015</w:t>
            </w:r>
          </w:p>
        </w:tc>
        <w:tc>
          <w:tcPr>
            <w:tcW w:w="486" w:type="dxa"/>
            <w:shd w:val="clear" w:color="auto" w:fill="FFD347"/>
            <w:vAlign w:val="center"/>
          </w:tcPr>
          <w:p w:rsidR="00BF6601" w:rsidRDefault="00E6396C">
            <w:pPr>
              <w:pStyle w:val="normal0"/>
            </w:pPr>
            <w:r>
              <w:rPr>
                <w:i/>
              </w:rPr>
              <w:t>%C</w:t>
            </w:r>
          </w:p>
        </w:tc>
        <w:tc>
          <w:tcPr>
            <w:tcW w:w="762" w:type="dxa"/>
            <w:shd w:val="clear" w:color="auto" w:fill="FFFFFF"/>
          </w:tcPr>
          <w:p w:rsidR="00BF6601" w:rsidRDefault="00E6396C">
            <w:pPr>
              <w:pStyle w:val="normal0"/>
            </w:pPr>
            <w:r>
              <w:rPr>
                <w:b/>
              </w:rPr>
              <w:t>2013-2014</w:t>
            </w:r>
          </w:p>
        </w:tc>
        <w:tc>
          <w:tcPr>
            <w:tcW w:w="411" w:type="dxa"/>
            <w:shd w:val="clear" w:color="auto" w:fill="FFD85D"/>
            <w:vAlign w:val="center"/>
          </w:tcPr>
          <w:p w:rsidR="00BF6601" w:rsidRDefault="00E6396C">
            <w:pPr>
              <w:pStyle w:val="normal0"/>
            </w:pPr>
            <w:r>
              <w:rPr>
                <w:i/>
              </w:rPr>
              <w:t>%C</w:t>
            </w:r>
          </w:p>
        </w:tc>
        <w:tc>
          <w:tcPr>
            <w:tcW w:w="702" w:type="dxa"/>
            <w:shd w:val="clear" w:color="auto" w:fill="FFFFFF"/>
          </w:tcPr>
          <w:p w:rsidR="00BF6601" w:rsidRDefault="00E6396C">
            <w:pPr>
              <w:pStyle w:val="normal0"/>
            </w:pPr>
            <w:r>
              <w:rPr>
                <w:b/>
              </w:rPr>
              <w:t>2012-2013</w:t>
            </w:r>
          </w:p>
        </w:tc>
        <w:tc>
          <w:tcPr>
            <w:tcW w:w="519" w:type="dxa"/>
            <w:shd w:val="clear" w:color="auto" w:fill="FFD85D"/>
            <w:vAlign w:val="center"/>
          </w:tcPr>
          <w:p w:rsidR="00BF6601" w:rsidRDefault="00E6396C">
            <w:pPr>
              <w:pStyle w:val="normal0"/>
            </w:pPr>
            <w:r>
              <w:rPr>
                <w:i/>
              </w:rPr>
              <w:t>%C</w:t>
            </w:r>
          </w:p>
        </w:tc>
        <w:tc>
          <w:tcPr>
            <w:tcW w:w="592" w:type="dxa"/>
            <w:shd w:val="clear" w:color="auto" w:fill="FFFFFF"/>
            <w:vAlign w:val="center"/>
          </w:tcPr>
          <w:p w:rsidR="00BF6601" w:rsidRDefault="00E6396C">
            <w:pPr>
              <w:pStyle w:val="normal0"/>
            </w:pPr>
            <w:r>
              <w:rPr>
                <w:b/>
              </w:rPr>
              <w:t>2011-2012</w:t>
            </w:r>
          </w:p>
        </w:tc>
        <w:tc>
          <w:tcPr>
            <w:tcW w:w="484" w:type="dxa"/>
            <w:shd w:val="clear" w:color="auto" w:fill="FFD85D"/>
            <w:vAlign w:val="center"/>
          </w:tcPr>
          <w:p w:rsidR="00BF6601" w:rsidRDefault="00E6396C">
            <w:pPr>
              <w:pStyle w:val="normal0"/>
            </w:pPr>
            <w:r>
              <w:rPr>
                <w:i/>
              </w:rPr>
              <w:t>%C</w:t>
            </w:r>
          </w:p>
        </w:tc>
        <w:tc>
          <w:tcPr>
            <w:tcW w:w="685" w:type="dxa"/>
            <w:shd w:val="clear" w:color="auto" w:fill="FFFFFF"/>
            <w:vAlign w:val="center"/>
          </w:tcPr>
          <w:p w:rsidR="00BF6601" w:rsidRDefault="00E6396C">
            <w:pPr>
              <w:pStyle w:val="normal0"/>
            </w:pPr>
            <w:r>
              <w:rPr>
                <w:b/>
              </w:rPr>
              <w:t>2010-2011</w:t>
            </w:r>
          </w:p>
        </w:tc>
        <w:tc>
          <w:tcPr>
            <w:tcW w:w="480" w:type="dxa"/>
            <w:shd w:val="clear" w:color="auto" w:fill="FFD85D"/>
            <w:vAlign w:val="center"/>
          </w:tcPr>
          <w:p w:rsidR="00BF6601" w:rsidRDefault="00E6396C">
            <w:pPr>
              <w:pStyle w:val="normal0"/>
            </w:pPr>
            <w:r>
              <w:rPr>
                <w:i/>
              </w:rPr>
              <w:t>%C</w:t>
            </w:r>
          </w:p>
        </w:tc>
        <w:tc>
          <w:tcPr>
            <w:tcW w:w="616" w:type="dxa"/>
            <w:shd w:val="clear" w:color="auto" w:fill="FFFFFF"/>
            <w:vAlign w:val="center"/>
          </w:tcPr>
          <w:p w:rsidR="00BF6601" w:rsidRDefault="00E6396C">
            <w:pPr>
              <w:pStyle w:val="normal0"/>
            </w:pPr>
            <w:r>
              <w:rPr>
                <w:b/>
              </w:rPr>
              <w:t>2009-2010</w:t>
            </w:r>
          </w:p>
        </w:tc>
      </w:tr>
      <w:tr w:rsidR="00BF6601">
        <w:tc>
          <w:tcPr>
            <w:tcW w:w="1478" w:type="dxa"/>
            <w:shd w:val="clear" w:color="auto" w:fill="FFFFFF"/>
            <w:tcMar>
              <w:top w:w="15" w:type="dxa"/>
              <w:left w:w="300" w:type="dxa"/>
              <w:bottom w:w="15" w:type="dxa"/>
              <w:right w:w="15" w:type="dxa"/>
            </w:tcMar>
            <w:vAlign w:val="center"/>
          </w:tcPr>
          <w:p w:rsidR="00BF6601" w:rsidRDefault="00E6396C">
            <w:pPr>
              <w:pStyle w:val="normal0"/>
            </w:pPr>
            <w:r>
              <w:t>Disability Services Counselor</w:t>
            </w:r>
          </w:p>
        </w:tc>
        <w:tc>
          <w:tcPr>
            <w:tcW w:w="770" w:type="dxa"/>
            <w:shd w:val="clear" w:color="auto" w:fill="FFFFFF"/>
          </w:tcPr>
          <w:p w:rsidR="00BF6601" w:rsidRDefault="00BF6601">
            <w:pPr>
              <w:pStyle w:val="normal0"/>
              <w:jc w:val="center"/>
            </w:pPr>
          </w:p>
          <w:p w:rsidR="00BF6601" w:rsidRDefault="00E6396C">
            <w:pPr>
              <w:pStyle w:val="normal0"/>
              <w:jc w:val="center"/>
            </w:pPr>
            <w:r>
              <w:t>170</w:t>
            </w:r>
          </w:p>
        </w:tc>
        <w:tc>
          <w:tcPr>
            <w:tcW w:w="462" w:type="dxa"/>
            <w:shd w:val="clear" w:color="auto" w:fill="FFD347"/>
            <w:vAlign w:val="center"/>
          </w:tcPr>
          <w:p w:rsidR="00BF6601" w:rsidRDefault="00BF6601">
            <w:pPr>
              <w:pStyle w:val="normal0"/>
              <w:jc w:val="center"/>
            </w:pPr>
          </w:p>
        </w:tc>
        <w:tc>
          <w:tcPr>
            <w:tcW w:w="717" w:type="dxa"/>
            <w:shd w:val="clear" w:color="auto" w:fill="FFFFFF"/>
          </w:tcPr>
          <w:p w:rsidR="00BF6601" w:rsidRDefault="00BF6601">
            <w:pPr>
              <w:pStyle w:val="normal0"/>
              <w:jc w:val="center"/>
            </w:pPr>
          </w:p>
          <w:p w:rsidR="00BF6601" w:rsidRDefault="00E6396C">
            <w:pPr>
              <w:pStyle w:val="normal0"/>
              <w:jc w:val="center"/>
            </w:pPr>
            <w:r>
              <w:t>143</w:t>
            </w:r>
          </w:p>
        </w:tc>
        <w:tc>
          <w:tcPr>
            <w:tcW w:w="486" w:type="dxa"/>
            <w:shd w:val="clear" w:color="auto" w:fill="FFD347"/>
            <w:vAlign w:val="center"/>
          </w:tcPr>
          <w:p w:rsidR="00BF6601" w:rsidRDefault="00E6396C">
            <w:pPr>
              <w:pStyle w:val="normal0"/>
              <w:jc w:val="center"/>
            </w:pPr>
            <w:r>
              <w:t>-50%</w:t>
            </w:r>
          </w:p>
        </w:tc>
        <w:tc>
          <w:tcPr>
            <w:tcW w:w="762" w:type="dxa"/>
            <w:shd w:val="clear" w:color="auto" w:fill="FFFFFF"/>
            <w:vAlign w:val="center"/>
          </w:tcPr>
          <w:p w:rsidR="00BF6601" w:rsidRDefault="00E6396C">
            <w:pPr>
              <w:pStyle w:val="normal0"/>
              <w:jc w:val="center"/>
            </w:pPr>
            <w:r>
              <w:t>286</w:t>
            </w:r>
          </w:p>
        </w:tc>
        <w:tc>
          <w:tcPr>
            <w:tcW w:w="411" w:type="dxa"/>
            <w:shd w:val="clear" w:color="auto" w:fill="FFD85D"/>
            <w:vAlign w:val="center"/>
          </w:tcPr>
          <w:p w:rsidR="00BF6601" w:rsidRDefault="00E6396C">
            <w:pPr>
              <w:pStyle w:val="normal0"/>
              <w:jc w:val="center"/>
            </w:pPr>
            <w:r>
              <w:t>0%</w:t>
            </w:r>
          </w:p>
        </w:tc>
        <w:tc>
          <w:tcPr>
            <w:tcW w:w="702" w:type="dxa"/>
            <w:shd w:val="clear" w:color="auto" w:fill="FFFFFF"/>
            <w:vAlign w:val="center"/>
          </w:tcPr>
          <w:p w:rsidR="00BF6601" w:rsidRDefault="00E6396C">
            <w:pPr>
              <w:pStyle w:val="normal0"/>
              <w:jc w:val="center"/>
            </w:pPr>
            <w:r>
              <w:t>287</w:t>
            </w:r>
          </w:p>
        </w:tc>
        <w:tc>
          <w:tcPr>
            <w:tcW w:w="519" w:type="dxa"/>
            <w:shd w:val="clear" w:color="auto" w:fill="FFD85D"/>
            <w:tcMar>
              <w:top w:w="15" w:type="dxa"/>
              <w:left w:w="15" w:type="dxa"/>
              <w:bottom w:w="15" w:type="dxa"/>
              <w:right w:w="45" w:type="dxa"/>
            </w:tcMar>
            <w:vAlign w:val="center"/>
          </w:tcPr>
          <w:p w:rsidR="00BF6601" w:rsidRDefault="00E6396C">
            <w:pPr>
              <w:pStyle w:val="normal0"/>
              <w:jc w:val="center"/>
            </w:pPr>
            <w:r>
              <w:rPr>
                <w:i/>
              </w:rPr>
              <w:t>7.9</w:t>
            </w:r>
          </w:p>
        </w:tc>
        <w:tc>
          <w:tcPr>
            <w:tcW w:w="592" w:type="dxa"/>
            <w:shd w:val="clear" w:color="auto" w:fill="FFFFFF"/>
            <w:tcMar>
              <w:top w:w="15" w:type="dxa"/>
              <w:left w:w="15" w:type="dxa"/>
              <w:bottom w:w="15" w:type="dxa"/>
              <w:right w:w="45" w:type="dxa"/>
            </w:tcMar>
            <w:vAlign w:val="center"/>
          </w:tcPr>
          <w:p w:rsidR="00BF6601" w:rsidRDefault="00E6396C">
            <w:pPr>
              <w:pStyle w:val="normal0"/>
              <w:jc w:val="center"/>
            </w:pPr>
            <w:r>
              <w:t>266</w:t>
            </w:r>
          </w:p>
        </w:tc>
        <w:tc>
          <w:tcPr>
            <w:tcW w:w="484" w:type="dxa"/>
            <w:shd w:val="clear" w:color="auto" w:fill="FFD85D"/>
            <w:tcMar>
              <w:top w:w="15" w:type="dxa"/>
              <w:left w:w="15" w:type="dxa"/>
              <w:bottom w:w="15" w:type="dxa"/>
              <w:right w:w="45" w:type="dxa"/>
            </w:tcMar>
            <w:vAlign w:val="center"/>
          </w:tcPr>
          <w:p w:rsidR="00BF6601" w:rsidRDefault="00E6396C">
            <w:pPr>
              <w:pStyle w:val="normal0"/>
              <w:jc w:val="center"/>
            </w:pPr>
            <w:r>
              <w:rPr>
                <w:i/>
              </w:rPr>
              <w:t>20.4</w:t>
            </w:r>
          </w:p>
        </w:tc>
        <w:tc>
          <w:tcPr>
            <w:tcW w:w="685" w:type="dxa"/>
            <w:shd w:val="clear" w:color="auto" w:fill="FFFFFF"/>
            <w:tcMar>
              <w:top w:w="15" w:type="dxa"/>
              <w:left w:w="15" w:type="dxa"/>
              <w:bottom w:w="15" w:type="dxa"/>
              <w:right w:w="45" w:type="dxa"/>
            </w:tcMar>
            <w:vAlign w:val="center"/>
          </w:tcPr>
          <w:p w:rsidR="00BF6601" w:rsidRDefault="00E6396C">
            <w:pPr>
              <w:pStyle w:val="normal0"/>
              <w:jc w:val="center"/>
            </w:pPr>
            <w:r>
              <w:t>221</w:t>
            </w:r>
          </w:p>
        </w:tc>
        <w:tc>
          <w:tcPr>
            <w:tcW w:w="480" w:type="dxa"/>
            <w:shd w:val="clear" w:color="auto" w:fill="FFD85D"/>
            <w:tcMar>
              <w:top w:w="15" w:type="dxa"/>
              <w:left w:w="15" w:type="dxa"/>
              <w:bottom w:w="15" w:type="dxa"/>
              <w:right w:w="45" w:type="dxa"/>
            </w:tcMar>
            <w:vAlign w:val="center"/>
          </w:tcPr>
          <w:p w:rsidR="00BF6601" w:rsidRDefault="00E6396C">
            <w:pPr>
              <w:pStyle w:val="normal0"/>
              <w:jc w:val="center"/>
            </w:pPr>
            <w:r>
              <w:rPr>
                <w:i/>
              </w:rPr>
              <w:t>14.5</w:t>
            </w:r>
          </w:p>
        </w:tc>
        <w:tc>
          <w:tcPr>
            <w:tcW w:w="616" w:type="dxa"/>
            <w:shd w:val="clear" w:color="auto" w:fill="FFFFFF"/>
            <w:tcMar>
              <w:top w:w="15" w:type="dxa"/>
              <w:left w:w="15" w:type="dxa"/>
              <w:bottom w:w="15" w:type="dxa"/>
              <w:right w:w="45" w:type="dxa"/>
            </w:tcMar>
            <w:vAlign w:val="center"/>
          </w:tcPr>
          <w:p w:rsidR="00BF6601" w:rsidRDefault="00E6396C">
            <w:pPr>
              <w:pStyle w:val="normal0"/>
              <w:jc w:val="center"/>
            </w:pPr>
            <w:r>
              <w:t>193</w:t>
            </w:r>
          </w:p>
        </w:tc>
      </w:tr>
    </w:tbl>
    <w:p w:rsidR="00BF6601" w:rsidRDefault="00BF6601">
      <w:pPr>
        <w:pStyle w:val="normal0"/>
      </w:pPr>
    </w:p>
    <w:p w:rsidR="00BF6601" w:rsidRDefault="00BF6601">
      <w:pPr>
        <w:pStyle w:val="normal0"/>
      </w:pPr>
    </w:p>
    <w:p w:rsidR="00BF6601" w:rsidRDefault="00BF6601">
      <w:pPr>
        <w:pStyle w:val="normal0"/>
      </w:pPr>
    </w:p>
    <w:p w:rsidR="00BF6601" w:rsidRDefault="00E6396C">
      <w:pPr>
        <w:pStyle w:val="normal0"/>
      </w:pPr>
      <w:r>
        <w:rPr>
          <w:sz w:val="24"/>
          <w:szCs w:val="24"/>
        </w:rPr>
        <w:t xml:space="preserve">Students served by the Disability Services Coordinator remained steady from FY 15 to FY 16.  </w:t>
      </w:r>
    </w:p>
    <w:p w:rsidR="00BF6601" w:rsidRDefault="00E6396C">
      <w:pPr>
        <w:pStyle w:val="normal0"/>
      </w:pPr>
      <w:r>
        <w:rPr>
          <w:sz w:val="24"/>
          <w:szCs w:val="24"/>
        </w:rPr>
        <w:t xml:space="preserve">Primary disability ranges from Psychiatric to Learning, to Physical.  </w:t>
      </w:r>
    </w:p>
    <w:p w:rsidR="00BF6601" w:rsidRDefault="00BF6601">
      <w:pPr>
        <w:pStyle w:val="normal0"/>
      </w:pPr>
    </w:p>
    <w:p w:rsidR="00BF6601" w:rsidRDefault="00E6396C">
      <w:pPr>
        <w:pStyle w:val="normal0"/>
      </w:pPr>
      <w:r>
        <w:rPr>
          <w:sz w:val="24"/>
          <w:szCs w:val="24"/>
        </w:rPr>
        <w:t>The Counseling Department continues to request for the AT specialist position.  This position worked with instructional faculty (our primary priority) and on some things on the UHMC website (pages for the counseling department and disability services information), there was no work done with the instructional designer(s), as the college transitioned to instructional designer positions working on specific projects funded by other grants.</w:t>
      </w:r>
    </w:p>
    <w:p w:rsidR="00BF6601" w:rsidRDefault="00BF6601">
      <w:pPr>
        <w:pStyle w:val="normal0"/>
        <w:ind w:firstLine="90"/>
      </w:pPr>
    </w:p>
    <w:p w:rsidR="00BF6601" w:rsidRDefault="00E6396C">
      <w:pPr>
        <w:pStyle w:val="normal0"/>
      </w:pPr>
      <w:r>
        <w:rPr>
          <w:sz w:val="24"/>
          <w:szCs w:val="24"/>
        </w:rPr>
        <w:t xml:space="preserve">Captioning software was obtained at the end of the grant period (May 2014); captioning videos for faculty will begin in the 2014-15 academic year. Furthermore, as a result of the last UHMC’s Strategic Planning Day, institutionalizing the assistive technology position was considered a priority. The position was viewed as serving special </w:t>
      </w:r>
      <w:proofErr w:type="gramStart"/>
      <w:r>
        <w:rPr>
          <w:sz w:val="24"/>
          <w:szCs w:val="24"/>
        </w:rPr>
        <w:t>populations which include those students</w:t>
      </w:r>
      <w:proofErr w:type="gramEnd"/>
      <w:r>
        <w:rPr>
          <w:sz w:val="24"/>
          <w:szCs w:val="24"/>
        </w:rPr>
        <w:t xml:space="preserve"> qualified for reasonable accommodations.  The special populations include students with disabilities, and may extend as well to veterans, English language learners, etc. Given the scope of services that may need to be in place, this position is essential for the delivery of accommodation. </w:t>
      </w:r>
    </w:p>
    <w:p w:rsidR="00BF6601" w:rsidRDefault="00BF6601">
      <w:pPr>
        <w:pStyle w:val="normal0"/>
      </w:pPr>
    </w:p>
    <w:p w:rsidR="00BF6601" w:rsidRDefault="000D19BF">
      <w:pPr>
        <w:pStyle w:val="normal0"/>
      </w:pPr>
      <w:r>
        <w:lastRenderedPageBreak/>
        <w:pict>
          <v:rect id="_x0000_i1030" style="width:0;height:1.5pt" o:hralign="center" o:hrstd="t" o:hr="t" fillcolor="#a0a0a0" stroked="f"/>
        </w:pict>
      </w:r>
    </w:p>
    <w:p w:rsidR="00BF6601" w:rsidRDefault="00BF6601">
      <w:pPr>
        <w:pStyle w:val="normal0"/>
        <w:tabs>
          <w:tab w:val="right" w:pos="9340"/>
        </w:tabs>
      </w:pPr>
    </w:p>
    <w:p w:rsidR="00BF6601" w:rsidRDefault="00E6396C">
      <w:pPr>
        <w:pStyle w:val="normal0"/>
        <w:tabs>
          <w:tab w:val="right" w:pos="9340"/>
        </w:tabs>
      </w:pPr>
      <w:r>
        <w:rPr>
          <w:b/>
          <w:color w:val="FFFFFF"/>
          <w:sz w:val="24"/>
          <w:szCs w:val="24"/>
          <w:shd w:val="clear" w:color="auto" w:fill="00637F"/>
        </w:rPr>
        <w:t>PLANS FOR THE COMING YEAR</w:t>
      </w:r>
      <w:r>
        <w:rPr>
          <w:b/>
          <w:color w:val="FFFFFF"/>
          <w:sz w:val="24"/>
          <w:szCs w:val="24"/>
          <w:shd w:val="clear" w:color="auto" w:fill="00637F"/>
        </w:rPr>
        <w:tab/>
      </w:r>
    </w:p>
    <w:p w:rsidR="00BF6601" w:rsidRDefault="00BF6601">
      <w:pPr>
        <w:pStyle w:val="normal0"/>
      </w:pPr>
    </w:p>
    <w:p w:rsidR="00BF6601" w:rsidRDefault="00E6396C">
      <w:pPr>
        <w:pStyle w:val="normal0"/>
        <w:tabs>
          <w:tab w:val="right" w:pos="9360"/>
        </w:tabs>
      </w:pPr>
      <w:r>
        <w:rPr>
          <w:sz w:val="24"/>
          <w:szCs w:val="24"/>
        </w:rPr>
        <w:t>15 to finish- Continue to promote and teach students the benefits of course load and how they can make the best use of their time in school.</w:t>
      </w:r>
    </w:p>
    <w:p w:rsidR="00BF6601" w:rsidRDefault="00BF6601">
      <w:pPr>
        <w:pStyle w:val="normal0"/>
        <w:tabs>
          <w:tab w:val="right" w:pos="9360"/>
        </w:tabs>
      </w:pPr>
    </w:p>
    <w:p w:rsidR="00BF6601" w:rsidRDefault="00E6396C">
      <w:pPr>
        <w:pStyle w:val="normal0"/>
        <w:tabs>
          <w:tab w:val="right" w:pos="9360"/>
        </w:tabs>
      </w:pPr>
      <w:r>
        <w:rPr>
          <w:sz w:val="24"/>
          <w:szCs w:val="24"/>
        </w:rPr>
        <w:t>STAR Registration- Continue to build and maintain all STAR degree pathways and records.  This is critical for the functionality of system.</w:t>
      </w:r>
    </w:p>
    <w:p w:rsidR="00BF6601" w:rsidRDefault="00BF6601">
      <w:pPr>
        <w:pStyle w:val="normal0"/>
        <w:tabs>
          <w:tab w:val="right" w:pos="9360"/>
        </w:tabs>
      </w:pPr>
    </w:p>
    <w:p w:rsidR="00BF6601" w:rsidRDefault="00E6396C">
      <w:pPr>
        <w:pStyle w:val="normal0"/>
        <w:tabs>
          <w:tab w:val="right" w:pos="9360"/>
        </w:tabs>
      </w:pPr>
      <w:proofErr w:type="gramStart"/>
      <w:r>
        <w:rPr>
          <w:sz w:val="24"/>
          <w:szCs w:val="24"/>
        </w:rPr>
        <w:t>Alternative placement</w:t>
      </w:r>
      <w:r>
        <w:rPr>
          <w:b/>
          <w:sz w:val="24"/>
          <w:szCs w:val="24"/>
        </w:rPr>
        <w:t xml:space="preserve">- </w:t>
      </w:r>
      <w:r>
        <w:rPr>
          <w:sz w:val="24"/>
          <w:szCs w:val="24"/>
        </w:rPr>
        <w:t>Continue to create a workflow to support the alternative placement factors for students and allow them to place at college level English and Math courses.</w:t>
      </w:r>
      <w:proofErr w:type="gramEnd"/>
      <w:r>
        <w:rPr>
          <w:sz w:val="24"/>
          <w:szCs w:val="24"/>
        </w:rPr>
        <w:t xml:space="preserve"> </w:t>
      </w:r>
    </w:p>
    <w:p w:rsidR="00BF6601" w:rsidRDefault="00BF6601">
      <w:pPr>
        <w:pStyle w:val="normal0"/>
      </w:pPr>
    </w:p>
    <w:p w:rsidR="00BF6601" w:rsidRDefault="00E6396C">
      <w:pPr>
        <w:pStyle w:val="normal0"/>
      </w:pPr>
      <w:r>
        <w:rPr>
          <w:sz w:val="24"/>
          <w:szCs w:val="24"/>
        </w:rPr>
        <w:t>Learning Support Teams- Continue to partner with English and Math instructors to support the students who are enrolled in the learning supports courses (developmental education courses)</w:t>
      </w:r>
    </w:p>
    <w:p w:rsidR="00BF6601" w:rsidRDefault="00BF6601">
      <w:pPr>
        <w:pStyle w:val="normal0"/>
      </w:pPr>
    </w:p>
    <w:p w:rsidR="00BF6601" w:rsidRDefault="00BF6601">
      <w:pPr>
        <w:pStyle w:val="normal0"/>
      </w:pPr>
    </w:p>
    <w:p w:rsidR="00BF6601" w:rsidRDefault="00E6396C">
      <w:pPr>
        <w:pStyle w:val="normal0"/>
      </w:pPr>
      <w:r>
        <w:rPr>
          <w:b/>
          <w:color w:val="FFFFFF"/>
          <w:sz w:val="24"/>
          <w:szCs w:val="24"/>
          <w:shd w:val="clear" w:color="auto" w:fill="00637F"/>
        </w:rPr>
        <w:t>BUDGET CONSIDERATIONS FOR COMING YEAR</w:t>
      </w:r>
    </w:p>
    <w:p w:rsidR="00BF6601" w:rsidRDefault="00BF6601">
      <w:pPr>
        <w:pStyle w:val="normal0"/>
      </w:pPr>
    </w:p>
    <w:p w:rsidR="00BF6601" w:rsidRDefault="00E6396C">
      <w:pPr>
        <w:pStyle w:val="normal0"/>
      </w:pPr>
      <w:r>
        <w:rPr>
          <w:b/>
          <w:sz w:val="24"/>
          <w:szCs w:val="24"/>
        </w:rPr>
        <w:t>STAR Building overload (40 hours per week)</w:t>
      </w:r>
    </w:p>
    <w:p w:rsidR="00BF6601" w:rsidRDefault="00E6396C">
      <w:pPr>
        <w:pStyle w:val="normal0"/>
      </w:pPr>
      <w:r>
        <w:rPr>
          <w:b/>
          <w:sz w:val="24"/>
          <w:szCs w:val="24"/>
        </w:rPr>
        <w:t>Student Assistants</w:t>
      </w:r>
    </w:p>
    <w:p w:rsidR="00BF6601" w:rsidRDefault="00E6396C">
      <w:pPr>
        <w:pStyle w:val="normal0"/>
      </w:pPr>
      <w:r>
        <w:rPr>
          <w:b/>
          <w:sz w:val="24"/>
          <w:szCs w:val="24"/>
        </w:rPr>
        <w:t>First Year Experience Counselor</w:t>
      </w:r>
    </w:p>
    <w:p w:rsidR="00BF6601" w:rsidRDefault="00E6396C">
      <w:pPr>
        <w:pStyle w:val="normal0"/>
      </w:pPr>
      <w:r>
        <w:rPr>
          <w:b/>
          <w:sz w:val="24"/>
          <w:szCs w:val="24"/>
        </w:rPr>
        <w:t>APT Assistive Technology Specialist</w:t>
      </w:r>
    </w:p>
    <w:p w:rsidR="00BF6601" w:rsidRDefault="00BF6601">
      <w:pPr>
        <w:pStyle w:val="normal0"/>
      </w:pPr>
    </w:p>
    <w:p w:rsidR="00BF6601" w:rsidRDefault="00BF6601">
      <w:pPr>
        <w:pStyle w:val="normal0"/>
      </w:pPr>
    </w:p>
    <w:sectPr w:rsidR="00BF6601">
      <w:headerReference w:type="default" r:id="rId11"/>
      <w:footerReference w:type="default" r:id="rId12"/>
      <w:pgSz w:w="12240" w:h="15840"/>
      <w:pgMar w:top="1450" w:right="1450" w:bottom="1450" w:left="145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665" w:rsidRDefault="00E6396C">
      <w:r>
        <w:separator/>
      </w:r>
    </w:p>
  </w:endnote>
  <w:endnote w:type="continuationSeparator" w:id="0">
    <w:p w:rsidR="00D65665" w:rsidRDefault="00E63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default"/>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601" w:rsidRDefault="00BF6601">
    <w:pPr>
      <w:pStyle w:val="normal0"/>
      <w:tabs>
        <w:tab w:val="center" w:pos="4680"/>
        <w:tab w:val="right" w:pos="9360"/>
      </w:tabs>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665" w:rsidRDefault="00E6396C">
      <w:r>
        <w:separator/>
      </w:r>
    </w:p>
  </w:footnote>
  <w:footnote w:type="continuationSeparator" w:id="0">
    <w:p w:rsidR="00D65665" w:rsidRDefault="00E6396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601" w:rsidRDefault="00BF6601">
    <w:pPr>
      <w:pStyle w:val="normal0"/>
      <w:tabs>
        <w:tab w:val="center" w:pos="4680"/>
        <w:tab w:val="right" w:pos="9360"/>
      </w:tabs>
      <w:spacing w:before="73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1561E"/>
    <w:multiLevelType w:val="multilevel"/>
    <w:tmpl w:val="20E8EA2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nsid w:val="1F471A8B"/>
    <w:multiLevelType w:val="multilevel"/>
    <w:tmpl w:val="FCA2708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31B7661A"/>
    <w:multiLevelType w:val="multilevel"/>
    <w:tmpl w:val="6400D5E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
    <w:nsid w:val="53DB3462"/>
    <w:multiLevelType w:val="multilevel"/>
    <w:tmpl w:val="B9AEC5F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nsid w:val="58CE11CA"/>
    <w:multiLevelType w:val="multilevel"/>
    <w:tmpl w:val="5A5CFCC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F6601"/>
    <w:rsid w:val="000D19BF"/>
    <w:rsid w:val="00BF6601"/>
    <w:rsid w:val="00D65665"/>
    <w:rsid w:val="00E639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sz w:val="24"/>
      <w:szCs w:val="24"/>
    </w:rPr>
  </w:style>
  <w:style w:type="paragraph" w:styleId="Heading5">
    <w:name w:val="heading 5"/>
    <w:basedOn w:val="normal0"/>
    <w:next w:val="normal0"/>
    <w:pPr>
      <w:keepNext/>
      <w:keepLines/>
      <w:spacing w:before="220" w:after="40"/>
      <w:contextualSpacing/>
      <w:outlineLvl w:val="4"/>
    </w:pPr>
    <w:rPr>
      <w:b/>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5" w:type="dxa"/>
        <w:left w:w="15" w:type="dxa"/>
        <w:bottom w:w="15" w:type="dxa"/>
        <w:right w:w="15" w:type="dxa"/>
      </w:tblCellMar>
    </w:tblPr>
  </w:style>
  <w:style w:type="table" w:customStyle="1" w:styleId="a0">
    <w:basedOn w:val="TableNormal"/>
    <w:tblPr>
      <w:tblStyleRowBandSize w:val="1"/>
      <w:tblStyleColBandSize w:val="1"/>
      <w:tblInd w:w="0" w:type="dxa"/>
      <w:tblCellMar>
        <w:top w:w="15" w:type="dxa"/>
        <w:left w:w="15" w:type="dxa"/>
        <w:bottom w:w="15" w:type="dxa"/>
        <w:right w:w="15" w:type="dxa"/>
      </w:tblCellMar>
    </w:tblPr>
  </w:style>
  <w:style w:type="table" w:customStyle="1" w:styleId="a1">
    <w:basedOn w:val="TableNormal"/>
    <w:tblPr>
      <w:tblStyleRowBandSize w:val="1"/>
      <w:tblStyleColBandSize w:val="1"/>
      <w:tblInd w:w="0" w:type="dxa"/>
      <w:tblCellMar>
        <w:top w:w="15" w:type="dxa"/>
        <w:left w:w="15" w:type="dxa"/>
        <w:bottom w:w="15" w:type="dxa"/>
        <w:right w:w="15"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15" w:type="dxa"/>
        <w:left w:w="15" w:type="dxa"/>
        <w:bottom w:w="15" w:type="dxa"/>
        <w:right w:w="15" w:type="dxa"/>
      </w:tblCellMar>
    </w:tblPr>
  </w:style>
  <w:style w:type="table" w:customStyle="1" w:styleId="a4">
    <w:basedOn w:val="TableNormal"/>
    <w:tblPr>
      <w:tblStyleRowBandSize w:val="1"/>
      <w:tblStyleColBandSize w:val="1"/>
      <w:tblInd w:w="0" w:type="dxa"/>
      <w:tblCellMar>
        <w:top w:w="15" w:type="dxa"/>
        <w:left w:w="15" w:type="dxa"/>
        <w:bottom w:w="15" w:type="dxa"/>
        <w:right w:w="15"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sz w:val="24"/>
      <w:szCs w:val="24"/>
    </w:rPr>
  </w:style>
  <w:style w:type="paragraph" w:styleId="Heading5">
    <w:name w:val="heading 5"/>
    <w:basedOn w:val="normal0"/>
    <w:next w:val="normal0"/>
    <w:pPr>
      <w:keepNext/>
      <w:keepLines/>
      <w:spacing w:before="220" w:after="40"/>
      <w:contextualSpacing/>
      <w:outlineLvl w:val="4"/>
    </w:pPr>
    <w:rPr>
      <w:b/>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5" w:type="dxa"/>
        <w:left w:w="15" w:type="dxa"/>
        <w:bottom w:w="15" w:type="dxa"/>
        <w:right w:w="15" w:type="dxa"/>
      </w:tblCellMar>
    </w:tblPr>
  </w:style>
  <w:style w:type="table" w:customStyle="1" w:styleId="a0">
    <w:basedOn w:val="TableNormal"/>
    <w:tblPr>
      <w:tblStyleRowBandSize w:val="1"/>
      <w:tblStyleColBandSize w:val="1"/>
      <w:tblInd w:w="0" w:type="dxa"/>
      <w:tblCellMar>
        <w:top w:w="15" w:type="dxa"/>
        <w:left w:w="15" w:type="dxa"/>
        <w:bottom w:w="15" w:type="dxa"/>
        <w:right w:w="15" w:type="dxa"/>
      </w:tblCellMar>
    </w:tblPr>
  </w:style>
  <w:style w:type="table" w:customStyle="1" w:styleId="a1">
    <w:basedOn w:val="TableNormal"/>
    <w:tblPr>
      <w:tblStyleRowBandSize w:val="1"/>
      <w:tblStyleColBandSize w:val="1"/>
      <w:tblInd w:w="0" w:type="dxa"/>
      <w:tblCellMar>
        <w:top w:w="15" w:type="dxa"/>
        <w:left w:w="15" w:type="dxa"/>
        <w:bottom w:w="15" w:type="dxa"/>
        <w:right w:w="15"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15" w:type="dxa"/>
        <w:left w:w="15" w:type="dxa"/>
        <w:bottom w:w="15" w:type="dxa"/>
        <w:right w:w="15" w:type="dxa"/>
      </w:tblCellMar>
    </w:tblPr>
  </w:style>
  <w:style w:type="table" w:customStyle="1" w:styleId="a4">
    <w:basedOn w:val="TableNormal"/>
    <w:tblPr>
      <w:tblStyleRowBandSize w:val="1"/>
      <w:tblStyleColBandSize w:val="1"/>
      <w:tblInd w:w="0" w:type="dxa"/>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1328</Words>
  <Characters>7573</Characters>
  <Application>Microsoft Macintosh Word</Application>
  <DocSecurity>0</DocSecurity>
  <Lines>63</Lines>
  <Paragraphs>17</Paragraphs>
  <ScaleCrop>false</ScaleCrop>
  <Company/>
  <LinksUpToDate>false</LinksUpToDate>
  <CharactersWithSpaces>8884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Kulamanu Ishihara</cp:lastModifiedBy>
  <cp:revision>2</cp:revision>
  <dcterms:created xsi:type="dcterms:W3CDTF">2016-12-22T02:18:00Z</dcterms:created>
  <dcterms:modified xsi:type="dcterms:W3CDTF">2016-12-22T02:18:00Z</dcterms:modified>
</cp:coreProperties>
</file>